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E49" w:rsidRPr="00E47DBF" w:rsidRDefault="00524CA3" w:rsidP="00C11DBB">
      <w:pP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72.35pt;margin-top:-71.05pt;width:595.85pt;height:113.55pt;z-index:251657216" strokecolor="#95b3d7" strokeweight="1pt">
            <v:fill color2="#b8cce4" focusposition="1" focussize="" focus="100%" type="gradient"/>
            <v:shadow on="t" type="perspective" color="#243f60" opacity=".5" offset="1pt" offset2="-3pt"/>
            <v:textbox>
              <w:txbxContent>
                <w:p w:rsidR="00E333BD" w:rsidRDefault="00524CA3" w:rsidP="004E51EE">
                  <w:pPr>
                    <w:rPr>
                      <w:rFonts w:ascii="Impact" w:hAnsi="Impact"/>
                      <w:sz w:val="40"/>
                      <w:szCs w:val="40"/>
                    </w:rPr>
                  </w:pPr>
                  <w:r w:rsidRPr="00524CA3">
                    <w:rPr>
                      <w:rFonts w:ascii="Impact" w:hAnsi="Impact"/>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77.45pt;height:1in;visibility:visible">
                        <v:imagedata r:id="rId8" o:title="Irs Logo (13)"/>
                      </v:shape>
                    </w:pict>
                  </w:r>
                  <w:r w:rsidR="00E333BD">
                    <w:rPr>
                      <w:rFonts w:ascii="Impact" w:hAnsi="Impact"/>
                      <w:sz w:val="40"/>
                      <w:szCs w:val="40"/>
                    </w:rPr>
                    <w:t xml:space="preserve">   </w:t>
                  </w:r>
                </w:p>
                <w:p w:rsidR="00E333BD" w:rsidRDefault="00E333BD" w:rsidP="00F6520E">
                  <w:pPr>
                    <w:ind w:left="720"/>
                    <w:rPr>
                      <w:rFonts w:ascii="Times New Roman" w:hAnsi="Times New Roman"/>
                      <w:sz w:val="24"/>
                      <w:szCs w:val="24"/>
                    </w:rPr>
                  </w:pPr>
                  <w:r>
                    <w:rPr>
                      <w:rFonts w:ascii="Times New Roman" w:hAnsi="Times New Roman"/>
                      <w:sz w:val="24"/>
                      <w:szCs w:val="24"/>
                    </w:rPr>
                    <w:t xml:space="preserve">         </w:t>
                  </w:r>
                  <w:r w:rsidRPr="00582C8B">
                    <w:rPr>
                      <w:rFonts w:ascii="Times New Roman" w:hAnsi="Times New Roman"/>
                      <w:sz w:val="24"/>
                      <w:szCs w:val="24"/>
                    </w:rPr>
                    <w:t>No.:</w:t>
                  </w:r>
                  <w:r w:rsidRPr="00582C8B">
                    <w:rPr>
                      <w:rFonts w:ascii="Times New Roman" w:hAnsi="Times New Roman"/>
                      <w:sz w:val="24"/>
                      <w:szCs w:val="24"/>
                    </w:rPr>
                    <w:tab/>
                  </w:r>
                  <w:r w:rsidR="00A348AF">
                    <w:rPr>
                      <w:rFonts w:ascii="Times New Roman" w:hAnsi="Times New Roman"/>
                      <w:sz w:val="24"/>
                      <w:szCs w:val="24"/>
                    </w:rPr>
                    <w:t>075/2018</w:t>
                  </w:r>
                  <w:r w:rsidR="00A348AF">
                    <w:rPr>
                      <w:rFonts w:ascii="Times New Roman" w:hAnsi="Times New Roman"/>
                      <w:sz w:val="24"/>
                      <w:szCs w:val="24"/>
                    </w:rPr>
                    <w:tab/>
                  </w:r>
                  <w:r w:rsidR="00A348AF">
                    <w:rPr>
                      <w:rFonts w:ascii="Times New Roman" w:hAnsi="Times New Roman"/>
                      <w:sz w:val="24"/>
                      <w:szCs w:val="24"/>
                    </w:rPr>
                    <w:tab/>
                  </w:r>
                  <w:r w:rsidR="00A348AF">
                    <w:rPr>
                      <w:rFonts w:ascii="Times New Roman" w:hAnsi="Times New Roman"/>
                      <w:sz w:val="24"/>
                      <w:szCs w:val="24"/>
                    </w:rPr>
                    <w:tab/>
                  </w:r>
                  <w:r w:rsidR="00A348AF">
                    <w:rPr>
                      <w:rFonts w:ascii="Times New Roman" w:hAnsi="Times New Roman"/>
                      <w:sz w:val="24"/>
                      <w:szCs w:val="24"/>
                    </w:rPr>
                    <w:tab/>
                  </w:r>
                  <w:r w:rsidR="00A348AF">
                    <w:rPr>
                      <w:rFonts w:ascii="Times New Roman" w:hAnsi="Times New Roman"/>
                      <w:sz w:val="24"/>
                      <w:szCs w:val="24"/>
                    </w:rPr>
                    <w:tab/>
                  </w:r>
                  <w:r w:rsidR="00A348AF">
                    <w:rPr>
                      <w:rFonts w:ascii="Times New Roman" w:hAnsi="Times New Roman"/>
                      <w:sz w:val="24"/>
                      <w:szCs w:val="24"/>
                    </w:rPr>
                    <w:tab/>
                  </w:r>
                  <w:r w:rsidR="00A348AF">
                    <w:rPr>
                      <w:rFonts w:ascii="Times New Roman" w:hAnsi="Times New Roman"/>
                      <w:sz w:val="24"/>
                      <w:szCs w:val="24"/>
                    </w:rPr>
                    <w:tab/>
                  </w:r>
                  <w:r w:rsidRPr="00582C8B">
                    <w:rPr>
                      <w:rFonts w:ascii="Times New Roman" w:hAnsi="Times New Roman"/>
                      <w:sz w:val="24"/>
                      <w:szCs w:val="24"/>
                    </w:rPr>
                    <w:t>Date:</w:t>
                  </w:r>
                  <w:r w:rsidR="00A348AF">
                    <w:rPr>
                      <w:rFonts w:ascii="Times New Roman" w:hAnsi="Times New Roman"/>
                      <w:sz w:val="24"/>
                      <w:szCs w:val="24"/>
                    </w:rPr>
                    <w:tab/>
                    <w:t>3</w:t>
                  </w:r>
                  <w:r w:rsidR="00A348AF" w:rsidRPr="00A348AF">
                    <w:rPr>
                      <w:rFonts w:ascii="Times New Roman" w:hAnsi="Times New Roman"/>
                      <w:sz w:val="24"/>
                      <w:szCs w:val="24"/>
                      <w:vertAlign w:val="superscript"/>
                    </w:rPr>
                    <w:t>rd</w:t>
                  </w:r>
                  <w:r w:rsidR="00A348AF">
                    <w:rPr>
                      <w:rFonts w:ascii="Times New Roman" w:hAnsi="Times New Roman"/>
                      <w:sz w:val="24"/>
                      <w:szCs w:val="24"/>
                    </w:rPr>
                    <w:t xml:space="preserve"> October 2018</w:t>
                  </w:r>
                </w:p>
                <w:p w:rsidR="00A348AF" w:rsidRPr="004E51EE" w:rsidRDefault="00A348AF" w:rsidP="00F6520E">
                  <w:pPr>
                    <w:ind w:left="720"/>
                    <w:rPr>
                      <w:rFonts w:ascii="Impact" w:hAnsi="Impact"/>
                      <w:sz w:val="40"/>
                      <w:szCs w:val="40"/>
                    </w:rPr>
                  </w:pPr>
                </w:p>
              </w:txbxContent>
            </v:textbox>
          </v:shape>
        </w:pict>
      </w:r>
      <w:r>
        <w:rPr>
          <w:rFonts w:ascii="Times New Roman" w:hAnsi="Times New Roman"/>
          <w:noProof/>
          <w:sz w:val="24"/>
          <w:szCs w:val="24"/>
        </w:rPr>
        <w:pict>
          <v:shape id="_x0000_s1030" type="#_x0000_t202" style="position:absolute;margin-left:82.05pt;margin-top:-51.75pt;width:295.95pt;height:42.75pt;z-index:251658240" stroked="f" strokecolor="#95b3d7" strokeweight="1pt">
            <v:fill color2="#b8cce4" focusposition="1" focussize="" focus="100%" type="gradient"/>
            <v:shadow on="t" type="perspective" color="#243f60" opacity=".5" offset="1pt" offset2="-3pt"/>
            <v:textbox>
              <w:txbxContent>
                <w:p w:rsidR="00E333BD" w:rsidRPr="00F6520E" w:rsidRDefault="00E333BD" w:rsidP="004E51EE">
                  <w:pPr>
                    <w:jc w:val="center"/>
                    <w:rPr>
                      <w:sz w:val="72"/>
                      <w:szCs w:val="72"/>
                    </w:rPr>
                  </w:pPr>
                  <w:r w:rsidRPr="00F6520E">
                    <w:rPr>
                      <w:rFonts w:ascii="Impact" w:hAnsi="Impact"/>
                      <w:sz w:val="72"/>
                      <w:szCs w:val="72"/>
                    </w:rPr>
                    <w:t>Technical Circular</w:t>
                  </w:r>
                </w:p>
              </w:txbxContent>
            </v:textbox>
          </v:shape>
        </w:pict>
      </w:r>
      <w:r w:rsidR="00CF5FB0">
        <w:rPr>
          <w:rFonts w:ascii="Times New Roman" w:hAnsi="Times New Roman"/>
          <w:sz w:val="24"/>
          <w:szCs w:val="24"/>
        </w:rPr>
        <w:t xml:space="preserve"> </w:t>
      </w:r>
    </w:p>
    <w:p w:rsidR="00541E49" w:rsidRPr="00E47DBF" w:rsidRDefault="00541E49" w:rsidP="00C11DBB">
      <w:pPr>
        <w:rPr>
          <w:rFonts w:ascii="Times New Roman" w:hAnsi="Times New Roman"/>
          <w:sz w:val="24"/>
          <w:szCs w:val="24"/>
        </w:rPr>
      </w:pPr>
    </w:p>
    <w:p w:rsidR="004217CB" w:rsidRDefault="004217CB" w:rsidP="00106603">
      <w:pPr>
        <w:spacing w:after="0" w:line="240" w:lineRule="auto"/>
        <w:jc w:val="both"/>
        <w:rPr>
          <w:rFonts w:ascii="Times New Roman" w:hAnsi="Times New Roman"/>
          <w:b/>
          <w:sz w:val="28"/>
          <w:szCs w:val="28"/>
        </w:rPr>
      </w:pPr>
    </w:p>
    <w:p w:rsidR="00106603" w:rsidRPr="00913715" w:rsidRDefault="00106603" w:rsidP="00106603">
      <w:pPr>
        <w:spacing w:after="0" w:line="240" w:lineRule="auto"/>
        <w:jc w:val="both"/>
        <w:rPr>
          <w:rFonts w:ascii="Times New Roman" w:hAnsi="Times New Roman"/>
          <w:b/>
          <w:sz w:val="24"/>
          <w:szCs w:val="24"/>
        </w:rPr>
      </w:pPr>
      <w:r w:rsidRPr="00C33532">
        <w:rPr>
          <w:rFonts w:ascii="Times New Roman" w:hAnsi="Times New Roman"/>
          <w:b/>
          <w:sz w:val="28"/>
          <w:szCs w:val="28"/>
        </w:rPr>
        <w:t xml:space="preserve">To </w:t>
      </w:r>
      <w:r w:rsidR="007C77ED" w:rsidRPr="00C33532">
        <w:rPr>
          <w:rFonts w:ascii="Times New Roman" w:hAnsi="Times New Roman"/>
          <w:b/>
          <w:sz w:val="28"/>
          <w:szCs w:val="28"/>
        </w:rPr>
        <w:t>whomsoever</w:t>
      </w:r>
      <w:r w:rsidRPr="00C33532">
        <w:rPr>
          <w:rFonts w:ascii="Times New Roman" w:hAnsi="Times New Roman"/>
          <w:b/>
          <w:sz w:val="28"/>
          <w:szCs w:val="28"/>
        </w:rPr>
        <w:t xml:space="preserve"> it may concern</w:t>
      </w:r>
      <w:r w:rsidRPr="003F54B7">
        <w:rPr>
          <w:rFonts w:ascii="Times New Roman" w:hAnsi="Times New Roman"/>
          <w:sz w:val="28"/>
          <w:szCs w:val="28"/>
        </w:rPr>
        <w:t xml:space="preserve"> </w:t>
      </w:r>
    </w:p>
    <w:p w:rsidR="00106603" w:rsidRDefault="00106603" w:rsidP="00106603">
      <w:pPr>
        <w:pStyle w:val="NoSpacing"/>
      </w:pPr>
    </w:p>
    <w:p w:rsidR="002F175F" w:rsidRPr="002F175F" w:rsidRDefault="002F175F" w:rsidP="002F175F">
      <w:pPr>
        <w:pStyle w:val="Default"/>
        <w:rPr>
          <w:rFonts w:ascii="Times New Roman" w:hAnsi="Times New Roman" w:cs="Times New Roman"/>
          <w:b/>
          <w:bCs/>
          <w:color w:val="auto"/>
          <w:sz w:val="28"/>
          <w:szCs w:val="28"/>
        </w:rPr>
      </w:pPr>
      <w:r w:rsidRPr="002F175F">
        <w:rPr>
          <w:rFonts w:ascii="Times New Roman" w:hAnsi="Times New Roman" w:cs="Times New Roman"/>
          <w:b/>
          <w:sz w:val="28"/>
          <w:szCs w:val="28"/>
          <w:u w:val="single"/>
        </w:rPr>
        <w:t>Subject:</w:t>
      </w:r>
      <w:r w:rsidRPr="002F175F">
        <w:rPr>
          <w:rFonts w:ascii="Times New Roman" w:hAnsi="Times New Roman" w:cs="Times New Roman"/>
          <w:sz w:val="28"/>
          <w:szCs w:val="28"/>
        </w:rPr>
        <w:t xml:space="preserve"> </w:t>
      </w:r>
      <w:r w:rsidRPr="002F175F">
        <w:rPr>
          <w:rFonts w:ascii="Times New Roman" w:hAnsi="Times New Roman" w:cs="Times New Roman"/>
          <w:b/>
          <w:sz w:val="28"/>
          <w:szCs w:val="28"/>
          <w:u w:val="single"/>
        </w:rPr>
        <w:t xml:space="preserve">Exhaust Gas Cleaning Systems with respect to compliance of new </w:t>
      </w:r>
      <w:proofErr w:type="spellStart"/>
      <w:r w:rsidRPr="002F175F">
        <w:rPr>
          <w:rFonts w:ascii="Times New Roman" w:hAnsi="Times New Roman" w:cs="Times New Roman"/>
          <w:b/>
          <w:sz w:val="28"/>
          <w:szCs w:val="28"/>
          <w:u w:val="single"/>
        </w:rPr>
        <w:t>Sulphur</w:t>
      </w:r>
      <w:proofErr w:type="spellEnd"/>
      <w:r w:rsidRPr="002F175F">
        <w:rPr>
          <w:rFonts w:ascii="Times New Roman" w:hAnsi="Times New Roman" w:cs="Times New Roman"/>
          <w:b/>
          <w:sz w:val="28"/>
          <w:szCs w:val="28"/>
          <w:u w:val="single"/>
        </w:rPr>
        <w:t xml:space="preserve"> limit in fuel for Vessels.</w:t>
      </w:r>
    </w:p>
    <w:p w:rsidR="002F175F" w:rsidRPr="00DB285D" w:rsidRDefault="002F175F" w:rsidP="002F175F">
      <w:pPr>
        <w:pStyle w:val="Default"/>
        <w:rPr>
          <w:rFonts w:ascii="Times New Roman" w:hAnsi="Times New Roman" w:cs="Times New Roman"/>
        </w:rPr>
      </w:pPr>
    </w:p>
    <w:p w:rsidR="002F175F" w:rsidRPr="00DB285D" w:rsidRDefault="002F175F" w:rsidP="002F175F">
      <w:pPr>
        <w:numPr>
          <w:ilvl w:val="0"/>
          <w:numId w:val="25"/>
        </w:numPr>
        <w:spacing w:after="0" w:line="240" w:lineRule="auto"/>
        <w:jc w:val="both"/>
        <w:rPr>
          <w:rFonts w:ascii="Times New Roman" w:hAnsi="Times New Roman"/>
          <w:sz w:val="24"/>
          <w:szCs w:val="24"/>
        </w:rPr>
      </w:pPr>
      <w:r w:rsidRPr="00DB285D">
        <w:rPr>
          <w:rFonts w:ascii="Times New Roman" w:hAnsi="Times New Roman"/>
          <w:sz w:val="24"/>
          <w:szCs w:val="24"/>
        </w:rPr>
        <w:t xml:space="preserve">As 1 January 2020 approaches, ship-owners and operators who have chosen to install scrubbers have many questions in their minds. One of them is where can the ship discharge scrubber wash water? </w:t>
      </w:r>
    </w:p>
    <w:p w:rsidR="002F175F" w:rsidRPr="00DB285D" w:rsidRDefault="002F175F" w:rsidP="002F175F">
      <w:pPr>
        <w:tabs>
          <w:tab w:val="left" w:pos="720"/>
        </w:tabs>
        <w:spacing w:after="0" w:line="240" w:lineRule="auto"/>
        <w:ind w:left="720"/>
        <w:jc w:val="both"/>
        <w:rPr>
          <w:rFonts w:ascii="Times New Roman" w:hAnsi="Times New Roman"/>
          <w:sz w:val="24"/>
          <w:szCs w:val="24"/>
        </w:rPr>
      </w:pPr>
    </w:p>
    <w:p w:rsidR="002F175F" w:rsidRPr="00DB285D" w:rsidRDefault="002F175F" w:rsidP="002F175F">
      <w:pPr>
        <w:numPr>
          <w:ilvl w:val="0"/>
          <w:numId w:val="25"/>
        </w:numPr>
        <w:tabs>
          <w:tab w:val="left" w:pos="426"/>
          <w:tab w:val="left" w:pos="720"/>
        </w:tabs>
        <w:spacing w:after="0" w:line="240" w:lineRule="auto"/>
        <w:jc w:val="both"/>
        <w:rPr>
          <w:rFonts w:ascii="Times New Roman" w:hAnsi="Times New Roman"/>
          <w:sz w:val="24"/>
          <w:szCs w:val="24"/>
        </w:rPr>
      </w:pPr>
      <w:r w:rsidRPr="00DB285D">
        <w:rPr>
          <w:rFonts w:ascii="Times New Roman" w:hAnsi="Times New Roman"/>
          <w:sz w:val="24"/>
          <w:szCs w:val="24"/>
        </w:rPr>
        <w:t>A list of Regions &amp; Countries which have so far taken a stance and implemented regulation regarding the discharge of wash water effluent from exhaust gas cleaning systems is provided as an annexure to this circular.</w:t>
      </w:r>
    </w:p>
    <w:p w:rsidR="002F175F" w:rsidRPr="002F175F" w:rsidRDefault="002F175F" w:rsidP="002F175F">
      <w:pPr>
        <w:tabs>
          <w:tab w:val="left" w:pos="360"/>
          <w:tab w:val="left" w:pos="720"/>
        </w:tabs>
        <w:spacing w:after="0" w:line="240" w:lineRule="auto"/>
        <w:ind w:left="360"/>
        <w:jc w:val="both"/>
        <w:rPr>
          <w:rFonts w:ascii="Times New Roman" w:hAnsi="Times New Roman"/>
          <w:sz w:val="24"/>
          <w:szCs w:val="24"/>
          <w:lang w:val="en-IN"/>
        </w:rPr>
      </w:pPr>
    </w:p>
    <w:p w:rsidR="002F175F" w:rsidRPr="00DB285D" w:rsidRDefault="002F175F" w:rsidP="002F175F">
      <w:pPr>
        <w:numPr>
          <w:ilvl w:val="0"/>
          <w:numId w:val="25"/>
        </w:numPr>
        <w:tabs>
          <w:tab w:val="left" w:pos="360"/>
          <w:tab w:val="left" w:pos="720"/>
        </w:tabs>
        <w:spacing w:after="0" w:line="240" w:lineRule="auto"/>
        <w:jc w:val="both"/>
        <w:rPr>
          <w:rFonts w:ascii="Times New Roman" w:hAnsi="Times New Roman"/>
          <w:sz w:val="24"/>
          <w:szCs w:val="24"/>
        </w:rPr>
      </w:pPr>
      <w:r w:rsidRPr="00DB285D">
        <w:rPr>
          <w:rFonts w:ascii="Times New Roman" w:hAnsi="Times New Roman"/>
          <w:sz w:val="24"/>
          <w:szCs w:val="24"/>
        </w:rPr>
        <w:t xml:space="preserve">Listed are those, who have additional or different regulations from the IMO </w:t>
      </w:r>
      <w:proofErr w:type="gramStart"/>
      <w:r w:rsidRPr="00DB285D">
        <w:rPr>
          <w:rFonts w:ascii="Times New Roman" w:hAnsi="Times New Roman"/>
          <w:sz w:val="24"/>
          <w:szCs w:val="24"/>
        </w:rPr>
        <w:t>MEPC.259(</w:t>
      </w:r>
      <w:proofErr w:type="gramEnd"/>
      <w:r w:rsidRPr="00DB285D">
        <w:rPr>
          <w:rFonts w:ascii="Times New Roman" w:hAnsi="Times New Roman"/>
          <w:sz w:val="24"/>
          <w:szCs w:val="24"/>
        </w:rPr>
        <w:t>68). The discharge of EGCS effluent will – if not prohibited - only be possible within the limits of the respective regulation.</w:t>
      </w:r>
    </w:p>
    <w:p w:rsidR="002F175F" w:rsidRPr="00DB285D" w:rsidRDefault="002F175F" w:rsidP="002F175F">
      <w:pPr>
        <w:tabs>
          <w:tab w:val="left" w:pos="720"/>
        </w:tabs>
        <w:spacing w:after="0" w:line="240" w:lineRule="auto"/>
        <w:jc w:val="both"/>
        <w:rPr>
          <w:rFonts w:ascii="Times New Roman" w:hAnsi="Times New Roman"/>
          <w:sz w:val="24"/>
          <w:szCs w:val="24"/>
        </w:rPr>
      </w:pPr>
    </w:p>
    <w:p w:rsidR="002F175F" w:rsidRPr="00DB285D" w:rsidRDefault="002F175F" w:rsidP="002F175F">
      <w:pPr>
        <w:numPr>
          <w:ilvl w:val="0"/>
          <w:numId w:val="25"/>
        </w:numPr>
        <w:spacing w:after="0" w:line="240" w:lineRule="auto"/>
        <w:jc w:val="both"/>
        <w:rPr>
          <w:rFonts w:ascii="Times New Roman" w:hAnsi="Times New Roman"/>
          <w:sz w:val="24"/>
          <w:szCs w:val="24"/>
        </w:rPr>
      </w:pPr>
      <w:r w:rsidRPr="00DB285D">
        <w:rPr>
          <w:rFonts w:ascii="Times New Roman" w:hAnsi="Times New Roman"/>
          <w:sz w:val="24"/>
          <w:szCs w:val="24"/>
        </w:rPr>
        <w:t>Further this is informed that various states, as well as singular ports around the world, that have not currently implemented regulation on the discharge of scrubber wash water, are holding discussions and might also conclude that they will prohibit the discharge of effluent or set their own respective limits before or after 1 January 2020.</w:t>
      </w:r>
    </w:p>
    <w:p w:rsidR="002F175F" w:rsidRPr="00DB285D" w:rsidRDefault="002F175F" w:rsidP="002F175F">
      <w:pPr>
        <w:tabs>
          <w:tab w:val="left" w:pos="720"/>
        </w:tabs>
        <w:spacing w:after="0" w:line="240" w:lineRule="auto"/>
        <w:jc w:val="both"/>
        <w:rPr>
          <w:rFonts w:ascii="Times New Roman" w:hAnsi="Times New Roman"/>
          <w:sz w:val="24"/>
          <w:szCs w:val="24"/>
        </w:rPr>
      </w:pPr>
    </w:p>
    <w:p w:rsidR="002F175F" w:rsidRPr="00DB285D" w:rsidRDefault="002F175F" w:rsidP="002F175F">
      <w:pPr>
        <w:numPr>
          <w:ilvl w:val="0"/>
          <w:numId w:val="25"/>
        </w:numPr>
        <w:tabs>
          <w:tab w:val="left" w:pos="426"/>
        </w:tabs>
        <w:spacing w:after="0" w:line="240" w:lineRule="auto"/>
        <w:jc w:val="both"/>
        <w:rPr>
          <w:rFonts w:ascii="Times New Roman" w:hAnsi="Times New Roman"/>
          <w:sz w:val="24"/>
          <w:szCs w:val="24"/>
        </w:rPr>
      </w:pPr>
      <w:r w:rsidRPr="00DB285D">
        <w:rPr>
          <w:rFonts w:ascii="Times New Roman" w:hAnsi="Times New Roman"/>
          <w:sz w:val="24"/>
          <w:szCs w:val="24"/>
        </w:rPr>
        <w:t>The existing regulations differ in the value limits, the means of measuring and the form of registration ships with operational EGCS’s will have to undertake once in these waters.</w:t>
      </w:r>
      <w:r w:rsidRPr="00DB285D">
        <w:rPr>
          <w:rFonts w:ascii="Times New Roman" w:hAnsi="Times New Roman"/>
          <w:color w:val="000000"/>
          <w:sz w:val="24"/>
          <w:szCs w:val="24"/>
        </w:rPr>
        <w:t xml:space="preserve"> </w:t>
      </w:r>
    </w:p>
    <w:p w:rsidR="002F175F" w:rsidRPr="00DB285D" w:rsidRDefault="002F175F" w:rsidP="002F175F">
      <w:pPr>
        <w:pStyle w:val="Default"/>
        <w:ind w:left="720"/>
        <w:rPr>
          <w:rFonts w:ascii="Times New Roman" w:hAnsi="Times New Roman" w:cs="Times New Roman"/>
        </w:rPr>
      </w:pPr>
    </w:p>
    <w:p w:rsidR="002F175F" w:rsidRPr="00DB285D" w:rsidRDefault="002F175F" w:rsidP="002F175F">
      <w:pPr>
        <w:pStyle w:val="Default"/>
        <w:numPr>
          <w:ilvl w:val="0"/>
          <w:numId w:val="25"/>
        </w:numPr>
        <w:rPr>
          <w:rFonts w:ascii="Times New Roman" w:hAnsi="Times New Roman" w:cs="Times New Roman"/>
        </w:rPr>
      </w:pPr>
      <w:r w:rsidRPr="00DB285D">
        <w:rPr>
          <w:rFonts w:ascii="Times New Roman" w:hAnsi="Times New Roman" w:cs="Times New Roman"/>
        </w:rPr>
        <w:t xml:space="preserve">Ship owners/operators and masters are advised to be guided by above. </w:t>
      </w:r>
    </w:p>
    <w:p w:rsidR="002F175F" w:rsidRPr="00DB285D" w:rsidRDefault="002F175F" w:rsidP="002F175F">
      <w:pPr>
        <w:pStyle w:val="Default"/>
        <w:ind w:firstLine="720"/>
        <w:jc w:val="both"/>
        <w:rPr>
          <w:rFonts w:ascii="Times New Roman" w:hAnsi="Times New Roman" w:cs="Times New Roman"/>
        </w:rPr>
      </w:pPr>
    </w:p>
    <w:p w:rsidR="002F175F" w:rsidRPr="00DB285D" w:rsidRDefault="002F175F" w:rsidP="002F175F">
      <w:pPr>
        <w:pStyle w:val="Default"/>
        <w:ind w:firstLine="720"/>
        <w:jc w:val="center"/>
        <w:rPr>
          <w:rFonts w:ascii="Times New Roman" w:hAnsi="Times New Roman" w:cs="Times New Roman"/>
          <w:b/>
          <w:u w:val="single"/>
        </w:rPr>
      </w:pPr>
      <w:r w:rsidRPr="00DB285D">
        <w:rPr>
          <w:rFonts w:ascii="Times New Roman" w:hAnsi="Times New Roman" w:cs="Times New Roman"/>
          <w:b/>
          <w:u w:val="single"/>
        </w:rPr>
        <w:t>ANNEXURE</w:t>
      </w:r>
    </w:p>
    <w:p w:rsidR="002F175F" w:rsidRPr="00DB285D" w:rsidRDefault="002F175F" w:rsidP="002F175F">
      <w:pPr>
        <w:pStyle w:val="Default"/>
        <w:ind w:firstLine="720"/>
        <w:jc w:val="center"/>
        <w:rPr>
          <w:rFonts w:ascii="Times New Roman" w:hAnsi="Times New Roman" w:cs="Times New Roman"/>
          <w:b/>
          <w:u w:val="single"/>
        </w:rPr>
      </w:pPr>
    </w:p>
    <w:tbl>
      <w:tblPr>
        <w:tblW w:w="875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376"/>
        <w:gridCol w:w="1414"/>
        <w:gridCol w:w="2070"/>
        <w:gridCol w:w="3082"/>
      </w:tblGrid>
      <w:tr w:rsidR="002F175F" w:rsidRPr="00DB285D" w:rsidTr="002F175F">
        <w:trPr>
          <w:trHeight w:val="375"/>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noWrap/>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Region</w:t>
            </w:r>
          </w:p>
        </w:tc>
        <w:tc>
          <w:tcPr>
            <w:tcW w:w="1414" w:type="dxa"/>
            <w:noWrap/>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Discharge</w:t>
            </w:r>
          </w:p>
        </w:tc>
        <w:tc>
          <w:tcPr>
            <w:tcW w:w="2070" w:type="dxa"/>
            <w:noWrap/>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Comments</w:t>
            </w:r>
          </w:p>
        </w:tc>
        <w:tc>
          <w:tcPr>
            <w:tcW w:w="3082" w:type="dxa"/>
            <w:noWrap/>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Wash water effluent regulation</w:t>
            </w:r>
          </w:p>
        </w:tc>
      </w:tr>
      <w:tr w:rsidR="002F175F" w:rsidRPr="00DB285D" w:rsidTr="002F175F">
        <w:trPr>
          <w:trHeight w:val="827"/>
        </w:trPr>
        <w:tc>
          <w:tcPr>
            <w:tcW w:w="810" w:type="dxa"/>
            <w:noWrap/>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IMO</w:t>
            </w:r>
          </w:p>
        </w:tc>
        <w:tc>
          <w:tcPr>
            <w:tcW w:w="1376" w:type="dxa"/>
            <w:noWrap/>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Global</w:t>
            </w:r>
          </w:p>
        </w:tc>
        <w:tc>
          <w:tcPr>
            <w:tcW w:w="1414" w:type="dxa"/>
            <w:noWrap/>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noWrap/>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rPr>
              <w:t>Discharge Possible</w:t>
            </w:r>
          </w:p>
        </w:tc>
        <w:tc>
          <w:tcPr>
            <w:tcW w:w="3082" w:type="dxa"/>
            <w:noWrap/>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rPr>
              <w:t xml:space="preserve">IMO EGCS Guidelines (resolution MEPC.259(68)) </w:t>
            </w:r>
          </w:p>
          <w:p w:rsidR="002F175F" w:rsidRPr="002F175F" w:rsidRDefault="002F175F" w:rsidP="004A1A4F">
            <w:pPr>
              <w:pStyle w:val="Default"/>
              <w:rPr>
                <w:rFonts w:ascii="Times New Roman" w:hAnsi="Times New Roman" w:cs="Times New Roman"/>
                <w:i/>
              </w:rPr>
            </w:pPr>
            <w:r w:rsidRPr="002F175F">
              <w:rPr>
                <w:rFonts w:ascii="Times New Roman" w:hAnsi="Times New Roman" w:cs="Times New Roman"/>
                <w:i/>
              </w:rPr>
              <w:t>(See note 1)</w:t>
            </w:r>
          </w:p>
        </w:tc>
      </w:tr>
      <w:tr w:rsidR="002F175F" w:rsidRPr="00DB285D" w:rsidTr="002F175F">
        <w:trPr>
          <w:trHeight w:val="1457"/>
        </w:trPr>
        <w:tc>
          <w:tcPr>
            <w:tcW w:w="810" w:type="dxa"/>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EU</w:t>
            </w: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EU</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Possible</w:t>
            </w:r>
          </w:p>
        </w:tc>
        <w:tc>
          <w:tcPr>
            <w:tcW w:w="3082" w:type="dxa"/>
            <w:hideMark/>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Sulphur Directive (SD)1999/32/EC; </w:t>
            </w:r>
          </w:p>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 xml:space="preserve">Water Framework Directive (WFD) 2000/60/EC &amp; </w:t>
            </w:r>
          </w:p>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 xml:space="preserve">EU Directive 2016/802/EC </w:t>
            </w:r>
          </w:p>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(all in add. to IMO)</w:t>
            </w:r>
          </w:p>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i/>
              </w:rPr>
              <w:t>(See note 2)</w:t>
            </w:r>
          </w:p>
        </w:tc>
      </w:tr>
    </w:tbl>
    <w:p w:rsidR="002F175F" w:rsidRDefault="002F175F" w:rsidP="002F175F">
      <w:pPr>
        <w:pStyle w:val="Default"/>
        <w:ind w:left="720"/>
        <w:rPr>
          <w:rFonts w:ascii="Times New Roman" w:hAnsi="Times New Roman" w:cs="Times New Roman"/>
        </w:rPr>
        <w:sectPr w:rsidR="002F175F" w:rsidSect="00091560">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2250" w:left="1440" w:header="720" w:footer="720" w:gutter="0"/>
          <w:cols w:space="720"/>
          <w:titlePg/>
          <w:docGrid w:linePitch="360"/>
        </w:sectPr>
      </w:pPr>
    </w:p>
    <w:tbl>
      <w:tblPr>
        <w:tblW w:w="875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376"/>
        <w:gridCol w:w="1414"/>
        <w:gridCol w:w="2070"/>
        <w:gridCol w:w="3082"/>
      </w:tblGrid>
      <w:tr w:rsidR="002F175F" w:rsidRPr="00DB285D" w:rsidTr="002F175F">
        <w:trPr>
          <w:trHeight w:val="710"/>
        </w:trPr>
        <w:tc>
          <w:tcPr>
            <w:tcW w:w="810" w:type="dxa"/>
            <w:noWrap/>
          </w:tcPr>
          <w:p w:rsidR="002F175F" w:rsidRPr="002F175F" w:rsidRDefault="002F175F" w:rsidP="002F175F">
            <w:pPr>
              <w:pStyle w:val="Default"/>
              <w:ind w:left="720"/>
              <w:rPr>
                <w:rFonts w:ascii="Times New Roman" w:hAnsi="Times New Roman" w:cs="Times New Roman"/>
              </w:rPr>
            </w:pPr>
          </w:p>
        </w:tc>
        <w:tc>
          <w:tcPr>
            <w:tcW w:w="1376"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Region</w:t>
            </w:r>
          </w:p>
        </w:tc>
        <w:tc>
          <w:tcPr>
            <w:tcW w:w="1414"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Discharge</w:t>
            </w:r>
          </w:p>
        </w:tc>
        <w:tc>
          <w:tcPr>
            <w:tcW w:w="2070"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Comments</w:t>
            </w:r>
          </w:p>
        </w:tc>
        <w:tc>
          <w:tcPr>
            <w:tcW w:w="3082"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Wash water effluent regulation</w:t>
            </w:r>
          </w:p>
        </w:tc>
      </w:tr>
      <w:tr w:rsidR="002F175F" w:rsidRPr="00DB285D" w:rsidTr="002F175F">
        <w:trPr>
          <w:trHeight w:val="197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Germany</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of wash water effluent prohibited in inland waters, rivers, certain ports as well as Kiel Canal</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 xml:space="preserve">§ 13 Abs. 7 See </w:t>
            </w:r>
            <w:proofErr w:type="spellStart"/>
            <w:r w:rsidRPr="002F175F">
              <w:rPr>
                <w:rFonts w:ascii="Times New Roman" w:hAnsi="Times New Roman" w:cs="Times New Roman"/>
                <w:lang w:val="en-GB"/>
              </w:rPr>
              <w:t>Umweltverhaltensverordnung</w:t>
            </w:r>
            <w:proofErr w:type="spellEnd"/>
            <w:r w:rsidRPr="002F175F">
              <w:rPr>
                <w:rFonts w:ascii="Times New Roman" w:hAnsi="Times New Roman" w:cs="Times New Roman"/>
                <w:lang w:val="en-GB"/>
              </w:rPr>
              <w:t xml:space="preserve"> (See </w:t>
            </w:r>
            <w:proofErr w:type="spellStart"/>
            <w:r w:rsidRPr="002F175F">
              <w:rPr>
                <w:rFonts w:ascii="Times New Roman" w:hAnsi="Times New Roman" w:cs="Times New Roman"/>
                <w:lang w:val="en-GB"/>
              </w:rPr>
              <w:t>UmwVerhV</w:t>
            </w:r>
            <w:proofErr w:type="spellEnd"/>
            <w:r w:rsidRPr="002F175F">
              <w:rPr>
                <w:rFonts w:ascii="Times New Roman" w:hAnsi="Times New Roman" w:cs="Times New Roman"/>
                <w:lang w:val="en-GB"/>
              </w:rPr>
              <w:t xml:space="preserve">) </w:t>
            </w:r>
          </w:p>
        </w:tc>
      </w:tr>
      <w:tr w:rsidR="002F175F" w:rsidRPr="00DB285D" w:rsidTr="002F175F">
        <w:trPr>
          <w:trHeight w:val="143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Belgium</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of wash water effluent prohibited within 3 nm of coast</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 xml:space="preserve">Wet van 26 </w:t>
            </w:r>
            <w:proofErr w:type="spellStart"/>
            <w:r w:rsidRPr="002F175F">
              <w:rPr>
                <w:rFonts w:ascii="Times New Roman" w:hAnsi="Times New Roman" w:cs="Times New Roman"/>
                <w:lang w:val="en-GB"/>
              </w:rPr>
              <w:t>maart</w:t>
            </w:r>
            <w:proofErr w:type="spellEnd"/>
            <w:r w:rsidRPr="002F175F">
              <w:rPr>
                <w:rFonts w:ascii="Times New Roman" w:hAnsi="Times New Roman" w:cs="Times New Roman"/>
                <w:lang w:val="en-GB"/>
              </w:rPr>
              <w:t xml:space="preserve"> 1971 op de </w:t>
            </w:r>
            <w:proofErr w:type="spellStart"/>
            <w:r w:rsidRPr="002F175F">
              <w:rPr>
                <w:rFonts w:ascii="Times New Roman" w:hAnsi="Times New Roman" w:cs="Times New Roman"/>
                <w:lang w:val="en-GB"/>
              </w:rPr>
              <w:t>bescherming</w:t>
            </w:r>
            <w:proofErr w:type="spellEnd"/>
            <w:r w:rsidRPr="002F175F">
              <w:rPr>
                <w:rFonts w:ascii="Times New Roman" w:hAnsi="Times New Roman" w:cs="Times New Roman"/>
                <w:lang w:val="en-GB"/>
              </w:rPr>
              <w:t xml:space="preserve"> van de </w:t>
            </w:r>
            <w:proofErr w:type="spellStart"/>
            <w:r w:rsidRPr="002F175F">
              <w:rPr>
                <w:rFonts w:ascii="Times New Roman" w:hAnsi="Times New Roman" w:cs="Times New Roman"/>
                <w:lang w:val="en-GB"/>
              </w:rPr>
              <w:t>oppervlaktewateren</w:t>
            </w:r>
            <w:proofErr w:type="spellEnd"/>
            <w:r w:rsidRPr="002F175F">
              <w:rPr>
                <w:rFonts w:ascii="Times New Roman" w:hAnsi="Times New Roman" w:cs="Times New Roman"/>
                <w:lang w:val="en-GB"/>
              </w:rPr>
              <w:t xml:space="preserve"> </w:t>
            </w:r>
            <w:proofErr w:type="spellStart"/>
            <w:r w:rsidRPr="002F175F">
              <w:rPr>
                <w:rFonts w:ascii="Times New Roman" w:hAnsi="Times New Roman" w:cs="Times New Roman"/>
                <w:lang w:val="en-GB"/>
              </w:rPr>
              <w:t>tegen</w:t>
            </w:r>
            <w:proofErr w:type="spellEnd"/>
            <w:r w:rsidRPr="002F175F">
              <w:rPr>
                <w:rFonts w:ascii="Times New Roman" w:hAnsi="Times New Roman" w:cs="Times New Roman"/>
                <w:lang w:val="en-GB"/>
              </w:rPr>
              <w:t xml:space="preserve"> </w:t>
            </w:r>
            <w:proofErr w:type="spellStart"/>
            <w:r w:rsidRPr="002F175F">
              <w:rPr>
                <w:rFonts w:ascii="Times New Roman" w:hAnsi="Times New Roman" w:cs="Times New Roman"/>
                <w:lang w:val="en-GB"/>
              </w:rPr>
              <w:t>verontreiniging</w:t>
            </w:r>
            <w:proofErr w:type="spellEnd"/>
            <w:r w:rsidRPr="002F175F">
              <w:rPr>
                <w:rFonts w:ascii="Times New Roman" w:hAnsi="Times New Roman" w:cs="Times New Roman"/>
                <w:lang w:val="en-GB"/>
              </w:rPr>
              <w:t xml:space="preserve"> (</w:t>
            </w:r>
            <w:proofErr w:type="spellStart"/>
            <w:r w:rsidRPr="002F175F">
              <w:rPr>
                <w:rFonts w:ascii="Times New Roman" w:hAnsi="Times New Roman" w:cs="Times New Roman"/>
                <w:lang w:val="en-GB"/>
              </w:rPr>
              <w:t>Vlaams</w:t>
            </w:r>
            <w:proofErr w:type="spellEnd"/>
            <w:r w:rsidRPr="002F175F">
              <w:rPr>
                <w:rFonts w:ascii="Times New Roman" w:hAnsi="Times New Roman" w:cs="Times New Roman"/>
                <w:lang w:val="en-GB"/>
              </w:rPr>
              <w:t xml:space="preserve"> </w:t>
            </w:r>
            <w:proofErr w:type="spellStart"/>
            <w:r w:rsidRPr="002F175F">
              <w:rPr>
                <w:rFonts w:ascii="Times New Roman" w:hAnsi="Times New Roman" w:cs="Times New Roman"/>
                <w:lang w:val="en-GB"/>
              </w:rPr>
              <w:t>Gewest</w:t>
            </w:r>
            <w:proofErr w:type="spellEnd"/>
            <w:r w:rsidRPr="002F175F">
              <w:rPr>
                <w:rFonts w:ascii="Times New Roman" w:hAnsi="Times New Roman" w:cs="Times New Roman"/>
                <w:lang w:val="en-GB"/>
              </w:rPr>
              <w:t>), as amended</w:t>
            </w:r>
          </w:p>
        </w:tc>
      </w:tr>
      <w:tr w:rsidR="002F175F" w:rsidRPr="00DB285D" w:rsidTr="002F175F">
        <w:trPr>
          <w:trHeight w:val="170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Latvia</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 xml:space="preserve">Discharge of wash water effluent "should" be prohibited in territorial waters and ports </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General authority position for now</w:t>
            </w:r>
          </w:p>
        </w:tc>
      </w:tr>
      <w:tr w:rsidR="002F175F" w:rsidRPr="00DB285D" w:rsidTr="002F175F">
        <w:trPr>
          <w:trHeight w:val="116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Lithuania</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of wash water effluent prohibited in port water area</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Port Rules and Conditions of Use approved by the Ministry of Transport and Communication</w:t>
            </w:r>
          </w:p>
        </w:tc>
      </w:tr>
      <w:tr w:rsidR="002F175F" w:rsidRPr="00DB285D" w:rsidTr="002F175F">
        <w:trPr>
          <w:trHeight w:val="1340"/>
        </w:trPr>
        <w:tc>
          <w:tcPr>
            <w:tcW w:w="810" w:type="dxa"/>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US</w:t>
            </w: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US </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possible, but slightly different Regulation than IMO</w:t>
            </w:r>
          </w:p>
        </w:tc>
        <w:tc>
          <w:tcPr>
            <w:tcW w:w="3082" w:type="dxa"/>
            <w:hideMark/>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2.2.26 of the 2013 Vessel General Permit (VGP)</w:t>
            </w:r>
          </w:p>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i/>
              </w:rPr>
              <w:t>(See note 3)</w:t>
            </w:r>
          </w:p>
        </w:tc>
      </w:tr>
      <w:tr w:rsidR="002F175F" w:rsidRPr="00DB285D" w:rsidTr="002F175F">
        <w:trPr>
          <w:trHeight w:val="845"/>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Connecticut</w:t>
            </w:r>
          </w:p>
          <w:p w:rsidR="002F175F" w:rsidRPr="002F175F" w:rsidRDefault="002F175F" w:rsidP="004A1A4F">
            <w:pPr>
              <w:rPr>
                <w:rFonts w:ascii="Times New Roman" w:hAnsi="Times New Roman"/>
                <w:sz w:val="24"/>
                <w:szCs w:val="24"/>
              </w:rPr>
            </w:pP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of wash water effluent prohibited</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6.5.9 of the 2013 VGP</w:t>
            </w:r>
          </w:p>
        </w:tc>
      </w:tr>
      <w:tr w:rsidR="002F175F" w:rsidRPr="00DB285D" w:rsidTr="002F175F">
        <w:trPr>
          <w:trHeight w:val="143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Hawaii</w:t>
            </w:r>
          </w:p>
          <w:p w:rsidR="002F175F" w:rsidRPr="002F175F" w:rsidRDefault="002F175F" w:rsidP="004A1A4F">
            <w:pPr>
              <w:rPr>
                <w:rFonts w:ascii="Times New Roman" w:hAnsi="Times New Roman"/>
                <w:sz w:val="24"/>
                <w:szCs w:val="24"/>
              </w:rPr>
            </w:pPr>
          </w:p>
          <w:p w:rsidR="002F175F" w:rsidRPr="002F175F" w:rsidRDefault="002F175F" w:rsidP="004A1A4F">
            <w:pPr>
              <w:rPr>
                <w:rFonts w:ascii="Times New Roman" w:hAnsi="Times New Roman"/>
                <w:sz w:val="24"/>
                <w:szCs w:val="24"/>
              </w:rPr>
            </w:pP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possible, but reporting has to be in line with 6.7.1 of the 2013 VGP</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6.7.1 of the 2013 VGP</w:t>
            </w:r>
          </w:p>
        </w:tc>
      </w:tr>
      <w:tr w:rsidR="002F175F" w:rsidRPr="00DB285D" w:rsidTr="002F175F">
        <w:trPr>
          <w:trHeight w:val="1880"/>
        </w:trPr>
        <w:tc>
          <w:tcPr>
            <w:tcW w:w="810" w:type="dxa"/>
            <w:noWrap/>
            <w:hideMark/>
          </w:tcPr>
          <w:p w:rsidR="002F175F" w:rsidRPr="002F175F" w:rsidRDefault="002F175F" w:rsidP="002F175F">
            <w:pPr>
              <w:pStyle w:val="Default"/>
              <w:ind w:left="720"/>
              <w:rPr>
                <w:rFonts w:ascii="Times New Roman" w:hAnsi="Times New Roman" w:cs="Times New Roman"/>
              </w:rPr>
            </w:pP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California</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No</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prohibited, allowed with temporary research or experimental permit ONLY</w:t>
            </w:r>
          </w:p>
        </w:tc>
        <w:tc>
          <w:tcPr>
            <w:tcW w:w="3082" w:type="dxa"/>
            <w:hideMark/>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Ocean Going Vessel (OGV) Fuel Regulation</w:t>
            </w:r>
          </w:p>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i/>
              </w:rPr>
              <w:t>(See note 4)</w:t>
            </w:r>
          </w:p>
        </w:tc>
      </w:tr>
    </w:tbl>
    <w:p w:rsidR="002F175F" w:rsidRDefault="002F175F" w:rsidP="004A1A4F">
      <w:pPr>
        <w:pStyle w:val="Default"/>
        <w:rPr>
          <w:rFonts w:ascii="Times New Roman" w:hAnsi="Times New Roman" w:cs="Times New Roman"/>
          <w:b/>
          <w:bCs/>
          <w:lang w:val="en-GB"/>
        </w:rPr>
        <w:sectPr w:rsidR="002F175F" w:rsidSect="00091560">
          <w:footerReference w:type="first" r:id="rId15"/>
          <w:pgSz w:w="11907" w:h="16839" w:code="9"/>
          <w:pgMar w:top="1440" w:right="1440" w:bottom="2250" w:left="1440" w:header="720" w:footer="720" w:gutter="0"/>
          <w:cols w:space="720"/>
          <w:titlePg/>
          <w:docGrid w:linePitch="360"/>
        </w:sectPr>
      </w:pPr>
    </w:p>
    <w:tbl>
      <w:tblPr>
        <w:tblW w:w="875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376"/>
        <w:gridCol w:w="1414"/>
        <w:gridCol w:w="2070"/>
        <w:gridCol w:w="3082"/>
      </w:tblGrid>
      <w:tr w:rsidR="002F175F" w:rsidRPr="00DB285D" w:rsidTr="002F175F">
        <w:trPr>
          <w:trHeight w:val="548"/>
        </w:trPr>
        <w:tc>
          <w:tcPr>
            <w:tcW w:w="810" w:type="dxa"/>
          </w:tcPr>
          <w:p w:rsidR="002F175F" w:rsidRPr="002F175F" w:rsidRDefault="002F175F" w:rsidP="004A1A4F">
            <w:pPr>
              <w:pStyle w:val="Default"/>
              <w:rPr>
                <w:rFonts w:ascii="Times New Roman" w:hAnsi="Times New Roman" w:cs="Times New Roman"/>
                <w:b/>
                <w:bCs/>
                <w:lang w:val="en-GB"/>
              </w:rPr>
            </w:pPr>
          </w:p>
        </w:tc>
        <w:tc>
          <w:tcPr>
            <w:tcW w:w="1376"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Region</w:t>
            </w:r>
          </w:p>
        </w:tc>
        <w:tc>
          <w:tcPr>
            <w:tcW w:w="1414"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Discharge</w:t>
            </w:r>
          </w:p>
        </w:tc>
        <w:tc>
          <w:tcPr>
            <w:tcW w:w="2070"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Comments</w:t>
            </w:r>
          </w:p>
        </w:tc>
        <w:tc>
          <w:tcPr>
            <w:tcW w:w="3082" w:type="dxa"/>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b/>
                <w:bCs/>
                <w:lang w:val="en-GB"/>
              </w:rPr>
              <w:t>Wash water effluent regulation</w:t>
            </w:r>
          </w:p>
        </w:tc>
      </w:tr>
      <w:tr w:rsidR="002F175F" w:rsidRPr="00DB285D" w:rsidTr="002F175F">
        <w:trPr>
          <w:trHeight w:val="548"/>
        </w:trPr>
        <w:tc>
          <w:tcPr>
            <w:tcW w:w="810" w:type="dxa"/>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CN</w:t>
            </w: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China</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Possible</w:t>
            </w:r>
          </w:p>
        </w:tc>
        <w:tc>
          <w:tcPr>
            <w:tcW w:w="3082" w:type="dxa"/>
            <w:hideMark/>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The People’s Republic of China Air Pollution Prevention Law</w:t>
            </w:r>
            <w:bookmarkStart w:id="0" w:name="_GoBack"/>
            <w:bookmarkEnd w:id="0"/>
          </w:p>
        </w:tc>
      </w:tr>
      <w:tr w:rsidR="002F175F" w:rsidRPr="00DB285D" w:rsidTr="002F175F">
        <w:trPr>
          <w:trHeight w:val="1160"/>
        </w:trPr>
        <w:tc>
          <w:tcPr>
            <w:tcW w:w="810" w:type="dxa"/>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HK</w:t>
            </w: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HK</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Exemption needed</w:t>
            </w:r>
          </w:p>
        </w:tc>
        <w:tc>
          <w:tcPr>
            <w:tcW w:w="3082" w:type="dxa"/>
            <w:hideMark/>
          </w:tcPr>
          <w:p w:rsidR="002F175F" w:rsidRPr="002F175F" w:rsidRDefault="002F175F" w:rsidP="004A1A4F">
            <w:pPr>
              <w:pStyle w:val="Default"/>
              <w:rPr>
                <w:rFonts w:ascii="Times New Roman" w:hAnsi="Times New Roman" w:cs="Times New Roman"/>
                <w:lang w:val="en-GB"/>
              </w:rPr>
            </w:pPr>
            <w:r w:rsidRPr="002F175F">
              <w:rPr>
                <w:rFonts w:ascii="Times New Roman" w:hAnsi="Times New Roman" w:cs="Times New Roman"/>
                <w:lang w:val="en-GB"/>
              </w:rPr>
              <w:t>“Air Pollution Control (Ocean Going Vessels) (Fuel at Berth) Regulation” Chapter 311AA, gazette Number E.R. 2 of 2015</w:t>
            </w:r>
          </w:p>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i/>
              </w:rPr>
              <w:t>(See note 5)</w:t>
            </w:r>
          </w:p>
        </w:tc>
      </w:tr>
      <w:tr w:rsidR="002F175F" w:rsidRPr="00DB285D" w:rsidTr="002F175F">
        <w:trPr>
          <w:trHeight w:val="620"/>
        </w:trPr>
        <w:tc>
          <w:tcPr>
            <w:tcW w:w="810" w:type="dxa"/>
            <w:hideMark/>
          </w:tcPr>
          <w:p w:rsidR="002F175F" w:rsidRPr="002F175F" w:rsidRDefault="002F175F" w:rsidP="004A1A4F">
            <w:pPr>
              <w:pStyle w:val="Default"/>
              <w:rPr>
                <w:rFonts w:ascii="Times New Roman" w:hAnsi="Times New Roman" w:cs="Times New Roman"/>
                <w:b/>
                <w:bCs/>
              </w:rPr>
            </w:pPr>
            <w:r w:rsidRPr="002F175F">
              <w:rPr>
                <w:rFonts w:ascii="Times New Roman" w:hAnsi="Times New Roman" w:cs="Times New Roman"/>
                <w:b/>
                <w:bCs/>
                <w:lang w:val="en-GB"/>
              </w:rPr>
              <w:t>AUS</w:t>
            </w:r>
          </w:p>
        </w:tc>
        <w:tc>
          <w:tcPr>
            <w:tcW w:w="1376"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Australia</w:t>
            </w:r>
          </w:p>
        </w:tc>
        <w:tc>
          <w:tcPr>
            <w:tcW w:w="1414"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Yes</w:t>
            </w:r>
          </w:p>
        </w:tc>
        <w:tc>
          <w:tcPr>
            <w:tcW w:w="2070"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Discharge Possible</w:t>
            </w:r>
          </w:p>
        </w:tc>
        <w:tc>
          <w:tcPr>
            <w:tcW w:w="3082" w:type="dxa"/>
            <w:hideMark/>
          </w:tcPr>
          <w:p w:rsidR="002F175F" w:rsidRPr="002F175F" w:rsidRDefault="002F175F" w:rsidP="004A1A4F">
            <w:pPr>
              <w:pStyle w:val="Default"/>
              <w:rPr>
                <w:rFonts w:ascii="Times New Roman" w:hAnsi="Times New Roman" w:cs="Times New Roman"/>
              </w:rPr>
            </w:pPr>
            <w:r w:rsidRPr="002F175F">
              <w:rPr>
                <w:rFonts w:ascii="Times New Roman" w:hAnsi="Times New Roman" w:cs="Times New Roman"/>
                <w:lang w:val="en-GB"/>
              </w:rPr>
              <w:t xml:space="preserve">EPA 2015/0695 (cruise ships have special reg.) </w:t>
            </w:r>
          </w:p>
        </w:tc>
      </w:tr>
    </w:tbl>
    <w:p w:rsidR="002F175F" w:rsidRPr="00DB285D" w:rsidRDefault="002F175F" w:rsidP="002F175F">
      <w:pPr>
        <w:autoSpaceDE w:val="0"/>
        <w:autoSpaceDN w:val="0"/>
        <w:adjustRightInd w:val="0"/>
        <w:spacing w:after="0" w:line="240" w:lineRule="auto"/>
        <w:rPr>
          <w:rFonts w:ascii="Times New Roman" w:hAnsi="Times New Roman"/>
          <w:color w:val="000000"/>
          <w:sz w:val="24"/>
          <w:szCs w:val="24"/>
        </w:rPr>
      </w:pPr>
    </w:p>
    <w:p w:rsidR="002F175F" w:rsidRPr="00DB285D" w:rsidRDefault="002F175F" w:rsidP="002F175F">
      <w:pPr>
        <w:numPr>
          <w:ilvl w:val="0"/>
          <w:numId w:val="26"/>
        </w:numPr>
        <w:autoSpaceDE w:val="0"/>
        <w:autoSpaceDN w:val="0"/>
        <w:adjustRightInd w:val="0"/>
        <w:spacing w:after="0" w:line="240" w:lineRule="auto"/>
        <w:jc w:val="both"/>
        <w:rPr>
          <w:rFonts w:ascii="Times New Roman" w:hAnsi="Times New Roman"/>
          <w:color w:val="000000"/>
          <w:sz w:val="24"/>
          <w:szCs w:val="24"/>
        </w:rPr>
      </w:pPr>
      <w:r w:rsidRPr="00DB285D">
        <w:rPr>
          <w:rFonts w:ascii="Times New Roman" w:hAnsi="Times New Roman"/>
          <w:b/>
          <w:i/>
          <w:color w:val="000000"/>
          <w:sz w:val="24"/>
          <w:szCs w:val="24"/>
          <w:u w:val="single"/>
        </w:rPr>
        <w:t>Note 1</w:t>
      </w:r>
      <w:r w:rsidRPr="00DB285D">
        <w:rPr>
          <w:rFonts w:ascii="Times New Roman" w:hAnsi="Times New Roman"/>
          <w:color w:val="000000"/>
          <w:sz w:val="24"/>
          <w:szCs w:val="24"/>
        </w:rPr>
        <w:t>:</w:t>
      </w:r>
      <w:r w:rsidRPr="00DB285D">
        <w:rPr>
          <w:rFonts w:ascii="Times New Roman" w:hAnsi="Times New Roman"/>
          <w:sz w:val="24"/>
          <w:szCs w:val="24"/>
        </w:rPr>
        <w:t xml:space="preserve"> </w:t>
      </w:r>
      <w:r w:rsidRPr="00DB285D">
        <w:rPr>
          <w:rFonts w:ascii="Times New Roman" w:hAnsi="Times New Roman"/>
          <w:i/>
          <w:color w:val="000000"/>
          <w:sz w:val="24"/>
          <w:szCs w:val="24"/>
        </w:rPr>
        <w:t xml:space="preserve">When the EGC system is operated in ports, </w:t>
      </w:r>
      <w:proofErr w:type="spellStart"/>
      <w:r w:rsidRPr="00DB285D">
        <w:rPr>
          <w:rFonts w:ascii="Times New Roman" w:hAnsi="Times New Roman"/>
          <w:i/>
          <w:color w:val="000000"/>
          <w:sz w:val="24"/>
          <w:szCs w:val="24"/>
        </w:rPr>
        <w:t>harbours</w:t>
      </w:r>
      <w:proofErr w:type="spellEnd"/>
      <w:r w:rsidRPr="00DB285D">
        <w:rPr>
          <w:rFonts w:ascii="Times New Roman" w:hAnsi="Times New Roman"/>
          <w:i/>
          <w:color w:val="000000"/>
          <w:sz w:val="24"/>
          <w:szCs w:val="24"/>
        </w:rPr>
        <w:t xml:space="preserve">, or estuaries, the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monitoring and recording should be continuous. The values monitored and recorded should include pH, PAH (Polycyclic Aromatic Hydrocarbons), turbidity and temperature. In other areas the continuous monitoring and recording equipment should also be in operation, whenever the EGC system is in operation, except for short periods of maintenance and cleaning of the equipment. The discharge water should comply with the limits of pH, PAH, Turbidity/Suspended Particle Matter,</w:t>
      </w:r>
      <w:r w:rsidRPr="00DB285D">
        <w:rPr>
          <w:rFonts w:ascii="Times New Roman" w:hAnsi="Times New Roman"/>
          <w:sz w:val="24"/>
          <w:szCs w:val="24"/>
        </w:rPr>
        <w:t xml:space="preserve"> </w:t>
      </w:r>
      <w:r w:rsidRPr="00DB285D">
        <w:rPr>
          <w:rFonts w:ascii="Times New Roman" w:hAnsi="Times New Roman"/>
          <w:i/>
          <w:color w:val="000000"/>
          <w:sz w:val="24"/>
          <w:szCs w:val="24"/>
        </w:rPr>
        <w:t>Nitrates.</w:t>
      </w:r>
    </w:p>
    <w:p w:rsidR="002F175F" w:rsidRPr="00DB285D" w:rsidRDefault="002F175F" w:rsidP="002F175F">
      <w:pPr>
        <w:autoSpaceDE w:val="0"/>
        <w:autoSpaceDN w:val="0"/>
        <w:adjustRightInd w:val="0"/>
        <w:spacing w:after="0" w:line="240" w:lineRule="auto"/>
        <w:ind w:left="540"/>
        <w:jc w:val="both"/>
        <w:rPr>
          <w:rFonts w:ascii="Times New Roman" w:hAnsi="Times New Roman"/>
          <w:color w:val="000000"/>
          <w:sz w:val="24"/>
          <w:szCs w:val="24"/>
        </w:rPr>
      </w:pPr>
      <w:r w:rsidRPr="00DB285D">
        <w:rPr>
          <w:rFonts w:ascii="Times New Roman" w:hAnsi="Times New Roman"/>
          <w:i/>
          <w:color w:val="000000"/>
          <w:sz w:val="24"/>
          <w:szCs w:val="24"/>
        </w:rPr>
        <w:t xml:space="preserve">1.Alkalinity: pH must be limited to 6.5 at the ship’s side at rest, with a maximum difference of 2 pH units when the ship is </w:t>
      </w:r>
      <w:proofErr w:type="spellStart"/>
      <w:r w:rsidRPr="00DB285D">
        <w:rPr>
          <w:rFonts w:ascii="Times New Roman" w:hAnsi="Times New Roman"/>
          <w:i/>
          <w:color w:val="000000"/>
          <w:sz w:val="24"/>
          <w:szCs w:val="24"/>
        </w:rPr>
        <w:t>manoeuvring</w:t>
      </w:r>
      <w:proofErr w:type="spellEnd"/>
      <w:r w:rsidRPr="00DB285D">
        <w:rPr>
          <w:rFonts w:ascii="Times New Roman" w:hAnsi="Times New Roman"/>
          <w:i/>
          <w:color w:val="000000"/>
          <w:sz w:val="24"/>
          <w:szCs w:val="24"/>
        </w:rPr>
        <w:t xml:space="preserve"> or in transit; or the pH is to meet a limit of 6.5(equal or above) measured four (4) meters from the ships discharge point. This must be continuously monitored and the monitoring data recorded and retained.</w:t>
      </w:r>
    </w:p>
    <w:p w:rsidR="002F175F" w:rsidRPr="00DB285D" w:rsidRDefault="002F175F" w:rsidP="002F175F">
      <w:pPr>
        <w:autoSpaceDE w:val="0"/>
        <w:autoSpaceDN w:val="0"/>
        <w:adjustRightInd w:val="0"/>
        <w:spacing w:after="0" w:line="240" w:lineRule="auto"/>
        <w:ind w:left="540"/>
        <w:jc w:val="both"/>
        <w:rPr>
          <w:rFonts w:ascii="Times New Roman" w:hAnsi="Times New Roman"/>
          <w:color w:val="000000"/>
          <w:sz w:val="24"/>
          <w:szCs w:val="24"/>
        </w:rPr>
      </w:pPr>
    </w:p>
    <w:p w:rsidR="002F175F" w:rsidRPr="00DB285D" w:rsidRDefault="002F175F" w:rsidP="002F175F">
      <w:pPr>
        <w:autoSpaceDE w:val="0"/>
        <w:autoSpaceDN w:val="0"/>
        <w:adjustRightInd w:val="0"/>
        <w:spacing w:after="0" w:line="240" w:lineRule="auto"/>
        <w:ind w:left="540"/>
        <w:jc w:val="both"/>
        <w:rPr>
          <w:rFonts w:ascii="Times New Roman" w:hAnsi="Times New Roman"/>
          <w:color w:val="000000"/>
          <w:sz w:val="24"/>
          <w:szCs w:val="24"/>
        </w:rPr>
      </w:pPr>
      <w:r w:rsidRPr="00DB285D">
        <w:rPr>
          <w:rFonts w:ascii="Times New Roman" w:hAnsi="Times New Roman"/>
          <w:i/>
          <w:color w:val="000000"/>
          <w:sz w:val="24"/>
          <w:szCs w:val="24"/>
        </w:rPr>
        <w:t xml:space="preserve">2. PAHs (Polycyclic Aromatic Hydrocarbons): The maximum continuous PAH concentration in the wash water should not be greater </w:t>
      </w:r>
      <w:proofErr w:type="gramStart"/>
      <w:r w:rsidRPr="00DB285D">
        <w:rPr>
          <w:rFonts w:ascii="Times New Roman" w:hAnsi="Times New Roman"/>
          <w:i/>
          <w:color w:val="000000"/>
          <w:sz w:val="24"/>
          <w:szCs w:val="24"/>
        </w:rPr>
        <w:t xml:space="preserve">than 50 </w:t>
      </w:r>
      <w:proofErr w:type="spellStart"/>
      <w:r w:rsidRPr="00DB285D">
        <w:rPr>
          <w:rFonts w:ascii="Times New Roman" w:hAnsi="Times New Roman"/>
          <w:i/>
          <w:color w:val="000000"/>
          <w:sz w:val="24"/>
          <w:szCs w:val="24"/>
        </w:rPr>
        <w:t>μg</w:t>
      </w:r>
      <w:proofErr w:type="spellEnd"/>
      <w:r w:rsidRPr="00DB285D">
        <w:rPr>
          <w:rFonts w:ascii="Times New Roman" w:hAnsi="Times New Roman"/>
          <w:i/>
          <w:color w:val="000000"/>
          <w:sz w:val="24"/>
          <w:szCs w:val="24"/>
        </w:rPr>
        <w:t xml:space="preserve">/L </w:t>
      </w:r>
      <w:proofErr w:type="spellStart"/>
      <w:r w:rsidRPr="00DB285D">
        <w:rPr>
          <w:rFonts w:ascii="Times New Roman" w:hAnsi="Times New Roman"/>
          <w:i/>
          <w:color w:val="000000"/>
          <w:sz w:val="24"/>
          <w:szCs w:val="24"/>
        </w:rPr>
        <w:t>PAHphe</w:t>
      </w:r>
      <w:proofErr w:type="spellEnd"/>
      <w:r w:rsidRPr="00DB285D">
        <w:rPr>
          <w:rFonts w:ascii="Times New Roman" w:hAnsi="Times New Roman"/>
          <w:i/>
          <w:color w:val="000000"/>
          <w:sz w:val="24"/>
          <w:szCs w:val="24"/>
        </w:rPr>
        <w:t xml:space="preserve"> (</w:t>
      </w:r>
      <w:proofErr w:type="spellStart"/>
      <w:r w:rsidRPr="00DB285D">
        <w:rPr>
          <w:rFonts w:ascii="Times New Roman" w:hAnsi="Times New Roman"/>
          <w:i/>
          <w:color w:val="000000"/>
          <w:sz w:val="24"/>
          <w:szCs w:val="24"/>
        </w:rPr>
        <w:t>phenanthrene</w:t>
      </w:r>
      <w:proofErr w:type="spellEnd"/>
      <w:r w:rsidRPr="00DB285D">
        <w:rPr>
          <w:rFonts w:ascii="Times New Roman" w:hAnsi="Times New Roman"/>
          <w:i/>
          <w:color w:val="000000"/>
          <w:sz w:val="24"/>
          <w:szCs w:val="24"/>
        </w:rPr>
        <w:t xml:space="preserve"> equivalence) above the inlet</w:t>
      </w:r>
      <w:proofErr w:type="gramEnd"/>
      <w:r w:rsidRPr="00DB285D">
        <w:rPr>
          <w:rFonts w:ascii="Times New Roman" w:hAnsi="Times New Roman"/>
          <w:i/>
          <w:color w:val="000000"/>
          <w:sz w:val="24"/>
          <w:szCs w:val="24"/>
        </w:rPr>
        <w:t xml:space="preserve"> water PAH concentration. The 50 </w:t>
      </w:r>
      <w:proofErr w:type="spellStart"/>
      <w:r w:rsidRPr="00DB285D">
        <w:rPr>
          <w:rFonts w:ascii="Times New Roman" w:hAnsi="Times New Roman"/>
          <w:i/>
          <w:color w:val="000000"/>
          <w:sz w:val="24"/>
          <w:szCs w:val="24"/>
        </w:rPr>
        <w:t>μg</w:t>
      </w:r>
      <w:proofErr w:type="spellEnd"/>
      <w:r w:rsidRPr="00DB285D">
        <w:rPr>
          <w:rFonts w:ascii="Times New Roman" w:hAnsi="Times New Roman"/>
          <w:i/>
          <w:color w:val="000000"/>
          <w:sz w:val="24"/>
          <w:szCs w:val="24"/>
        </w:rPr>
        <w:t xml:space="preserve">/L limit described above is normalized for a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flow rate through the EGC unit </w:t>
      </w:r>
      <w:proofErr w:type="gramStart"/>
      <w:r w:rsidRPr="00DB285D">
        <w:rPr>
          <w:rFonts w:ascii="Times New Roman" w:hAnsi="Times New Roman"/>
          <w:i/>
          <w:color w:val="000000"/>
          <w:sz w:val="24"/>
          <w:szCs w:val="24"/>
        </w:rPr>
        <w:t>of 45 t/</w:t>
      </w:r>
      <w:proofErr w:type="spellStart"/>
      <w:r w:rsidRPr="00DB285D">
        <w:rPr>
          <w:rFonts w:ascii="Times New Roman" w:hAnsi="Times New Roman"/>
          <w:i/>
          <w:color w:val="000000"/>
          <w:sz w:val="24"/>
          <w:szCs w:val="24"/>
        </w:rPr>
        <w:t>MWh</w:t>
      </w:r>
      <w:proofErr w:type="spellEnd"/>
      <w:proofErr w:type="gramEnd"/>
      <w:r w:rsidRPr="00DB285D">
        <w:rPr>
          <w:rFonts w:ascii="Times New Roman" w:hAnsi="Times New Roman"/>
          <w:i/>
          <w:color w:val="000000"/>
          <w:sz w:val="24"/>
          <w:szCs w:val="24"/>
        </w:rPr>
        <w:t xml:space="preserve"> where the MW refers to the MCR or 80% of the power rating of the fuel oil combustion unit. This limit would have to be adjusted upward for lower wash water flow rates per </w:t>
      </w:r>
      <w:proofErr w:type="spellStart"/>
      <w:r w:rsidRPr="00DB285D">
        <w:rPr>
          <w:rFonts w:ascii="Times New Roman" w:hAnsi="Times New Roman"/>
          <w:i/>
          <w:color w:val="000000"/>
          <w:sz w:val="24"/>
          <w:szCs w:val="24"/>
        </w:rPr>
        <w:t>MWh</w:t>
      </w:r>
      <w:proofErr w:type="spellEnd"/>
      <w:r w:rsidRPr="00DB285D">
        <w:rPr>
          <w:rFonts w:ascii="Times New Roman" w:hAnsi="Times New Roman"/>
          <w:i/>
          <w:color w:val="000000"/>
          <w:sz w:val="24"/>
          <w:szCs w:val="24"/>
        </w:rPr>
        <w:t>, and vice-versa.</w:t>
      </w:r>
    </w:p>
    <w:p w:rsidR="002F175F" w:rsidRPr="00DB285D" w:rsidRDefault="002F175F" w:rsidP="002F175F">
      <w:pPr>
        <w:autoSpaceDE w:val="0"/>
        <w:autoSpaceDN w:val="0"/>
        <w:adjustRightInd w:val="0"/>
        <w:spacing w:after="0" w:line="240" w:lineRule="auto"/>
        <w:ind w:left="720"/>
        <w:rPr>
          <w:rFonts w:ascii="Times New Roman" w:hAnsi="Times New Roman"/>
          <w:i/>
          <w:color w:val="000000"/>
          <w:sz w:val="24"/>
          <w:szCs w:val="24"/>
        </w:rPr>
      </w:pPr>
    </w:p>
    <w:tbl>
      <w:tblPr>
        <w:tblW w:w="830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1"/>
        <w:gridCol w:w="3338"/>
        <w:gridCol w:w="3273"/>
      </w:tblGrid>
      <w:tr w:rsidR="002F175F" w:rsidRPr="00DB285D" w:rsidTr="002F175F">
        <w:trPr>
          <w:trHeight w:val="561"/>
        </w:trPr>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b/>
                <w:bCs/>
                <w:i/>
                <w:color w:val="000000"/>
                <w:sz w:val="24"/>
                <w:szCs w:val="24"/>
              </w:rPr>
            </w:pPr>
            <w:r w:rsidRPr="002F175F">
              <w:rPr>
                <w:rFonts w:ascii="Times New Roman" w:hAnsi="Times New Roman"/>
                <w:b/>
                <w:bCs/>
                <w:i/>
                <w:color w:val="000000"/>
                <w:sz w:val="24"/>
                <w:szCs w:val="24"/>
              </w:rPr>
              <w:t>Flow Rate Limit (t/</w:t>
            </w:r>
            <w:proofErr w:type="spellStart"/>
            <w:r w:rsidRPr="002F175F">
              <w:rPr>
                <w:rFonts w:ascii="Times New Roman" w:hAnsi="Times New Roman"/>
                <w:b/>
                <w:bCs/>
                <w:i/>
                <w:color w:val="000000"/>
                <w:sz w:val="24"/>
                <w:szCs w:val="24"/>
              </w:rPr>
              <w:t>MWh</w:t>
            </w:r>
            <w:proofErr w:type="spellEnd"/>
            <w:r w:rsidRPr="002F175F">
              <w:rPr>
                <w:rFonts w:ascii="Times New Roman" w:hAnsi="Times New Roman"/>
                <w:b/>
                <w:bCs/>
                <w:i/>
                <w:color w:val="000000"/>
                <w:sz w:val="24"/>
                <w:szCs w:val="24"/>
              </w:rPr>
              <w:t>)</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b/>
                <w:bCs/>
                <w:i/>
                <w:color w:val="000000"/>
                <w:sz w:val="24"/>
                <w:szCs w:val="24"/>
              </w:rPr>
            </w:pPr>
            <w:r w:rsidRPr="002F175F">
              <w:rPr>
                <w:rFonts w:ascii="Times New Roman" w:hAnsi="Times New Roman"/>
                <w:b/>
                <w:bCs/>
                <w:i/>
                <w:color w:val="000000"/>
                <w:sz w:val="24"/>
                <w:szCs w:val="24"/>
              </w:rPr>
              <w:t>Discharge Concentration</w:t>
            </w:r>
          </w:p>
          <w:p w:rsidR="002F175F" w:rsidRPr="002F175F" w:rsidRDefault="002F175F" w:rsidP="002F175F">
            <w:pPr>
              <w:autoSpaceDE w:val="0"/>
              <w:autoSpaceDN w:val="0"/>
              <w:adjustRightInd w:val="0"/>
              <w:spacing w:after="0" w:line="240" w:lineRule="auto"/>
              <w:jc w:val="center"/>
              <w:rPr>
                <w:rFonts w:ascii="Times New Roman" w:hAnsi="Times New Roman"/>
                <w:b/>
                <w:bCs/>
                <w:i/>
                <w:color w:val="000000"/>
                <w:sz w:val="24"/>
                <w:szCs w:val="24"/>
              </w:rPr>
            </w:pPr>
            <w:r w:rsidRPr="002F175F">
              <w:rPr>
                <w:rFonts w:ascii="Times New Roman" w:hAnsi="Times New Roman"/>
                <w:b/>
                <w:bCs/>
                <w:i/>
                <w:color w:val="000000"/>
                <w:sz w:val="24"/>
                <w:szCs w:val="24"/>
              </w:rPr>
              <w:t>(</w:t>
            </w:r>
            <w:proofErr w:type="spellStart"/>
            <w:r w:rsidRPr="002F175F">
              <w:rPr>
                <w:rFonts w:ascii="Times New Roman" w:hAnsi="Times New Roman"/>
                <w:b/>
                <w:bCs/>
                <w:i/>
                <w:color w:val="000000"/>
                <w:sz w:val="24"/>
                <w:szCs w:val="24"/>
              </w:rPr>
              <w:t>μg</w:t>
            </w:r>
            <w:proofErr w:type="spellEnd"/>
            <w:r w:rsidRPr="002F175F">
              <w:rPr>
                <w:rFonts w:ascii="Times New Roman" w:hAnsi="Times New Roman"/>
                <w:b/>
                <w:bCs/>
                <w:i/>
                <w:color w:val="000000"/>
                <w:sz w:val="24"/>
                <w:szCs w:val="24"/>
              </w:rPr>
              <w:t xml:space="preserve">/L </w:t>
            </w:r>
            <w:proofErr w:type="spellStart"/>
            <w:r w:rsidRPr="002F175F">
              <w:rPr>
                <w:rFonts w:ascii="Times New Roman" w:hAnsi="Times New Roman"/>
                <w:b/>
                <w:bCs/>
                <w:i/>
                <w:color w:val="000000"/>
                <w:sz w:val="24"/>
                <w:szCs w:val="24"/>
              </w:rPr>
              <w:t>PAHphe</w:t>
            </w:r>
            <w:proofErr w:type="spellEnd"/>
            <w:r w:rsidRPr="002F175F">
              <w:rPr>
                <w:rFonts w:ascii="Times New Roman" w:hAnsi="Times New Roman"/>
                <w:b/>
                <w:bCs/>
                <w:i/>
                <w:color w:val="000000"/>
                <w:sz w:val="24"/>
                <w:szCs w:val="24"/>
              </w:rPr>
              <w:t xml:space="preserve"> equivalents)</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b/>
                <w:bCs/>
                <w:i/>
                <w:color w:val="000000"/>
                <w:sz w:val="24"/>
                <w:szCs w:val="24"/>
              </w:rPr>
            </w:pPr>
            <w:r w:rsidRPr="002F175F">
              <w:rPr>
                <w:rFonts w:ascii="Times New Roman" w:hAnsi="Times New Roman"/>
                <w:b/>
                <w:bCs/>
                <w:i/>
                <w:color w:val="000000"/>
                <w:sz w:val="24"/>
                <w:szCs w:val="24"/>
              </w:rPr>
              <w:t>Measurement Technology</w:t>
            </w:r>
          </w:p>
          <w:p w:rsidR="002F175F" w:rsidRPr="002F175F" w:rsidRDefault="002F175F" w:rsidP="002F175F">
            <w:pPr>
              <w:autoSpaceDE w:val="0"/>
              <w:autoSpaceDN w:val="0"/>
              <w:adjustRightInd w:val="0"/>
              <w:spacing w:after="0" w:line="240" w:lineRule="auto"/>
              <w:ind w:left="720"/>
              <w:jc w:val="center"/>
              <w:rPr>
                <w:rFonts w:ascii="Times New Roman" w:hAnsi="Times New Roman"/>
                <w:b/>
                <w:bCs/>
                <w:i/>
                <w:color w:val="000000"/>
                <w:sz w:val="24"/>
                <w:szCs w:val="24"/>
              </w:rPr>
            </w:pP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0-1</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2250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Ultraviolet Light</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2.5</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900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Ultraviolet Light</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5</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450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Fluorescence</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11.25</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200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Fluorescence</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22.5</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100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Fluorescence</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45</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50</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Fluorescence</w:t>
            </w:r>
          </w:p>
        </w:tc>
      </w:tr>
      <w:tr w:rsidR="002F175F" w:rsidRPr="00DB285D" w:rsidTr="002F175F">
        <w:tblPrEx>
          <w:tblLook w:val="04A0"/>
        </w:tblPrEx>
        <w:tc>
          <w:tcPr>
            <w:tcW w:w="1691"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90</w:t>
            </w:r>
          </w:p>
        </w:tc>
        <w:tc>
          <w:tcPr>
            <w:tcW w:w="3338"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25</w:t>
            </w:r>
          </w:p>
        </w:tc>
        <w:tc>
          <w:tcPr>
            <w:tcW w:w="3273" w:type="dxa"/>
          </w:tcPr>
          <w:p w:rsidR="002F175F" w:rsidRPr="002F175F" w:rsidRDefault="002F175F" w:rsidP="002F175F">
            <w:pPr>
              <w:autoSpaceDE w:val="0"/>
              <w:autoSpaceDN w:val="0"/>
              <w:adjustRightInd w:val="0"/>
              <w:spacing w:after="0" w:line="240" w:lineRule="auto"/>
              <w:jc w:val="center"/>
              <w:rPr>
                <w:rFonts w:ascii="Times New Roman" w:hAnsi="Times New Roman"/>
                <w:i/>
                <w:color w:val="000000"/>
                <w:sz w:val="24"/>
                <w:szCs w:val="24"/>
              </w:rPr>
            </w:pPr>
            <w:r w:rsidRPr="002F175F">
              <w:rPr>
                <w:rFonts w:ascii="Times New Roman" w:hAnsi="Times New Roman"/>
                <w:i/>
                <w:color w:val="000000"/>
                <w:sz w:val="24"/>
                <w:szCs w:val="24"/>
              </w:rPr>
              <w:t>Fluorescence</w:t>
            </w:r>
          </w:p>
        </w:tc>
      </w:tr>
    </w:tbl>
    <w:p w:rsidR="002F175F" w:rsidRDefault="002F175F" w:rsidP="002F175F">
      <w:pPr>
        <w:autoSpaceDE w:val="0"/>
        <w:autoSpaceDN w:val="0"/>
        <w:adjustRightInd w:val="0"/>
        <w:spacing w:after="0" w:line="240" w:lineRule="auto"/>
        <w:rPr>
          <w:rFonts w:ascii="Times New Roman" w:hAnsi="Times New Roman"/>
          <w:i/>
          <w:color w:val="000000"/>
          <w:sz w:val="24"/>
          <w:szCs w:val="24"/>
        </w:rPr>
      </w:pPr>
    </w:p>
    <w:p w:rsidR="002F175F" w:rsidRPr="00DB285D" w:rsidRDefault="002F175F" w:rsidP="002F175F">
      <w:pPr>
        <w:autoSpaceDE w:val="0"/>
        <w:autoSpaceDN w:val="0"/>
        <w:adjustRightInd w:val="0"/>
        <w:spacing w:after="0" w:line="240" w:lineRule="auto"/>
        <w:rPr>
          <w:rFonts w:ascii="Times New Roman" w:hAnsi="Times New Roman"/>
          <w:i/>
          <w:color w:val="000000"/>
          <w:sz w:val="24"/>
          <w:szCs w:val="24"/>
        </w:rPr>
      </w:pPr>
    </w:p>
    <w:p w:rsidR="002F175F" w:rsidRPr="00DB285D" w:rsidRDefault="002F175F" w:rsidP="002F175F">
      <w:pPr>
        <w:autoSpaceDE w:val="0"/>
        <w:autoSpaceDN w:val="0"/>
        <w:adjustRightInd w:val="0"/>
        <w:spacing w:after="0" w:line="240" w:lineRule="auto"/>
        <w:ind w:left="540"/>
        <w:jc w:val="both"/>
        <w:rPr>
          <w:rFonts w:ascii="Times New Roman" w:hAnsi="Times New Roman"/>
          <w:i/>
          <w:color w:val="000000"/>
          <w:sz w:val="24"/>
          <w:szCs w:val="24"/>
        </w:rPr>
      </w:pPr>
      <w:proofErr w:type="gramStart"/>
      <w:r w:rsidRPr="00DB285D">
        <w:rPr>
          <w:rFonts w:ascii="Times New Roman" w:hAnsi="Times New Roman"/>
          <w:i/>
          <w:color w:val="000000"/>
          <w:sz w:val="24"/>
          <w:szCs w:val="24"/>
        </w:rPr>
        <w:lastRenderedPageBreak/>
        <w:t>3.Turbidity</w:t>
      </w:r>
      <w:proofErr w:type="gramEnd"/>
      <w:r w:rsidRPr="00DB285D">
        <w:rPr>
          <w:rFonts w:ascii="Times New Roman" w:hAnsi="Times New Roman"/>
          <w:i/>
          <w:color w:val="000000"/>
          <w:sz w:val="24"/>
          <w:szCs w:val="24"/>
        </w:rPr>
        <w:t>: The maximum continuous turbidity in wash water should not be greater than 25 FNU (</w:t>
      </w:r>
      <w:proofErr w:type="spellStart"/>
      <w:r w:rsidRPr="00DB285D">
        <w:rPr>
          <w:rFonts w:ascii="Times New Roman" w:hAnsi="Times New Roman"/>
          <w:i/>
          <w:color w:val="000000"/>
          <w:sz w:val="24"/>
          <w:szCs w:val="24"/>
        </w:rPr>
        <w:t>formazin</w:t>
      </w:r>
      <w:proofErr w:type="spellEnd"/>
      <w:r w:rsidRPr="00DB285D">
        <w:rPr>
          <w:rFonts w:ascii="Times New Roman" w:hAnsi="Times New Roman"/>
          <w:i/>
          <w:color w:val="000000"/>
          <w:sz w:val="24"/>
          <w:szCs w:val="24"/>
        </w:rPr>
        <w:t xml:space="preserve"> </w:t>
      </w:r>
      <w:proofErr w:type="spellStart"/>
      <w:r w:rsidRPr="00DB285D">
        <w:rPr>
          <w:rFonts w:ascii="Times New Roman" w:hAnsi="Times New Roman"/>
          <w:i/>
          <w:color w:val="000000"/>
          <w:sz w:val="24"/>
          <w:szCs w:val="24"/>
        </w:rPr>
        <w:t>nephlometric</w:t>
      </w:r>
      <w:proofErr w:type="spellEnd"/>
      <w:r w:rsidRPr="00DB285D">
        <w:rPr>
          <w:rFonts w:ascii="Times New Roman" w:hAnsi="Times New Roman"/>
          <w:i/>
          <w:color w:val="000000"/>
          <w:sz w:val="24"/>
          <w:szCs w:val="24"/>
        </w:rPr>
        <w:t xml:space="preserve"> units) or 25 NTU (</w:t>
      </w:r>
      <w:proofErr w:type="spellStart"/>
      <w:r w:rsidRPr="00DB285D">
        <w:rPr>
          <w:rFonts w:ascii="Times New Roman" w:hAnsi="Times New Roman"/>
          <w:i/>
          <w:color w:val="000000"/>
          <w:sz w:val="24"/>
          <w:szCs w:val="24"/>
        </w:rPr>
        <w:t>nephlometric</w:t>
      </w:r>
      <w:proofErr w:type="spellEnd"/>
      <w:r w:rsidRPr="00DB285D">
        <w:rPr>
          <w:rFonts w:ascii="Times New Roman" w:hAnsi="Times New Roman"/>
          <w:i/>
          <w:color w:val="000000"/>
          <w:sz w:val="24"/>
          <w:szCs w:val="24"/>
        </w:rPr>
        <w:t xml:space="preserve"> turbidity units) or equivalent units, above the inlet water turbidity.</w:t>
      </w:r>
      <w:r w:rsidRPr="00DB285D">
        <w:rPr>
          <w:rFonts w:ascii="Times New Roman" w:hAnsi="Times New Roman"/>
          <w:sz w:val="24"/>
          <w:szCs w:val="24"/>
        </w:rPr>
        <w:t xml:space="preserve"> </w:t>
      </w:r>
      <w:r w:rsidRPr="00DB285D">
        <w:rPr>
          <w:rFonts w:ascii="Times New Roman" w:hAnsi="Times New Roman"/>
          <w:i/>
          <w:color w:val="000000"/>
          <w:sz w:val="24"/>
          <w:szCs w:val="24"/>
        </w:rPr>
        <w:t>For a 15-minute period in any 12-hour period, the continuous turbidity discharge limit may be exceeded by 20%.</w:t>
      </w:r>
    </w:p>
    <w:p w:rsidR="002F175F" w:rsidRPr="00DB285D" w:rsidRDefault="002F175F" w:rsidP="002F175F">
      <w:pPr>
        <w:autoSpaceDE w:val="0"/>
        <w:autoSpaceDN w:val="0"/>
        <w:adjustRightInd w:val="0"/>
        <w:spacing w:after="0" w:line="240" w:lineRule="auto"/>
        <w:ind w:left="540"/>
        <w:rPr>
          <w:rFonts w:ascii="Times New Roman" w:hAnsi="Times New Roman"/>
          <w:i/>
          <w:color w:val="000000"/>
          <w:sz w:val="24"/>
          <w:szCs w:val="24"/>
        </w:rPr>
      </w:pPr>
    </w:p>
    <w:p w:rsidR="002F175F" w:rsidRPr="00DB285D" w:rsidRDefault="002F175F" w:rsidP="002F175F">
      <w:pPr>
        <w:autoSpaceDE w:val="0"/>
        <w:autoSpaceDN w:val="0"/>
        <w:adjustRightInd w:val="0"/>
        <w:spacing w:after="0" w:line="240" w:lineRule="auto"/>
        <w:ind w:left="540"/>
        <w:jc w:val="both"/>
        <w:rPr>
          <w:rFonts w:ascii="Times New Roman" w:hAnsi="Times New Roman"/>
          <w:i/>
          <w:color w:val="000000"/>
          <w:sz w:val="24"/>
          <w:szCs w:val="24"/>
        </w:rPr>
      </w:pPr>
      <w:r w:rsidRPr="00DB285D">
        <w:rPr>
          <w:rFonts w:ascii="Times New Roman" w:hAnsi="Times New Roman"/>
          <w:i/>
          <w:color w:val="000000"/>
          <w:sz w:val="24"/>
          <w:szCs w:val="24"/>
        </w:rPr>
        <w:t xml:space="preserve">4.The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treatment system should prevent the discharge of nitrates beyond that associated with a 12% removal of NOX from the exhaust, or beyond 60 mg/l normalized for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discharge rate of 45 tons/</w:t>
      </w:r>
      <w:proofErr w:type="spellStart"/>
      <w:r w:rsidRPr="00DB285D">
        <w:rPr>
          <w:rFonts w:ascii="Times New Roman" w:hAnsi="Times New Roman"/>
          <w:i/>
          <w:color w:val="000000"/>
          <w:sz w:val="24"/>
          <w:szCs w:val="24"/>
        </w:rPr>
        <w:t>MWh</w:t>
      </w:r>
      <w:proofErr w:type="spellEnd"/>
      <w:r w:rsidRPr="00DB285D">
        <w:rPr>
          <w:rFonts w:ascii="Times New Roman" w:hAnsi="Times New Roman"/>
          <w:i/>
          <w:color w:val="000000"/>
          <w:sz w:val="24"/>
          <w:szCs w:val="24"/>
        </w:rPr>
        <w:t xml:space="preserve"> whichever is greater.</w:t>
      </w:r>
    </w:p>
    <w:p w:rsidR="002F175F" w:rsidRPr="00DB285D" w:rsidRDefault="002F175F" w:rsidP="002F175F">
      <w:pPr>
        <w:pStyle w:val="ListParagraph"/>
        <w:autoSpaceDE w:val="0"/>
        <w:autoSpaceDN w:val="0"/>
        <w:adjustRightInd w:val="0"/>
        <w:spacing w:after="0" w:line="240" w:lineRule="auto"/>
        <w:jc w:val="both"/>
        <w:rPr>
          <w:rFonts w:ascii="Times New Roman" w:hAnsi="Times New Roman"/>
          <w:i/>
          <w:color w:val="000000"/>
          <w:sz w:val="24"/>
          <w:szCs w:val="24"/>
        </w:rPr>
      </w:pPr>
    </w:p>
    <w:p w:rsidR="002F175F" w:rsidRPr="00DB285D" w:rsidRDefault="002F175F" w:rsidP="002F175F">
      <w:pPr>
        <w:pStyle w:val="ListParagraph"/>
        <w:numPr>
          <w:ilvl w:val="0"/>
          <w:numId w:val="26"/>
        </w:numPr>
        <w:autoSpaceDE w:val="0"/>
        <w:autoSpaceDN w:val="0"/>
        <w:adjustRightInd w:val="0"/>
        <w:spacing w:after="0" w:line="240" w:lineRule="auto"/>
        <w:jc w:val="both"/>
        <w:rPr>
          <w:rFonts w:ascii="Times New Roman" w:hAnsi="Times New Roman"/>
          <w:i/>
          <w:color w:val="000000"/>
          <w:sz w:val="24"/>
          <w:szCs w:val="24"/>
        </w:rPr>
      </w:pPr>
      <w:r w:rsidRPr="00DB285D">
        <w:rPr>
          <w:rFonts w:ascii="Times New Roman" w:hAnsi="Times New Roman"/>
          <w:b/>
          <w:i/>
          <w:color w:val="000000"/>
          <w:sz w:val="24"/>
          <w:szCs w:val="24"/>
          <w:u w:val="single"/>
        </w:rPr>
        <w:t>Note 2:</w:t>
      </w:r>
      <w:r w:rsidRPr="00DB285D">
        <w:rPr>
          <w:rFonts w:ascii="Times New Roman" w:hAnsi="Times New Roman"/>
          <w:i/>
          <w:color w:val="000000"/>
          <w:sz w:val="24"/>
          <w:szCs w:val="24"/>
        </w:rPr>
        <w:t xml:space="preserve"> "Wash water resulting from exhaust gas cleaning systems which make use of chemicals, additives, preparations and relevant chemical created in situ", referred to in point 10.1.6.1 of Resolution </w:t>
      </w:r>
      <w:proofErr w:type="gramStart"/>
      <w:r w:rsidRPr="00DB285D">
        <w:rPr>
          <w:rFonts w:ascii="Times New Roman" w:hAnsi="Times New Roman"/>
          <w:i/>
          <w:color w:val="000000"/>
          <w:sz w:val="24"/>
          <w:szCs w:val="24"/>
        </w:rPr>
        <w:t>MEPC.184(</w:t>
      </w:r>
      <w:proofErr w:type="gramEnd"/>
      <w:r w:rsidRPr="00DB285D">
        <w:rPr>
          <w:rFonts w:ascii="Times New Roman" w:hAnsi="Times New Roman"/>
          <w:i/>
          <w:color w:val="000000"/>
          <w:sz w:val="24"/>
          <w:szCs w:val="24"/>
        </w:rPr>
        <w:t xml:space="preserve">59), shall not be discharged into the sea, including enclosed ports, </w:t>
      </w:r>
      <w:proofErr w:type="spellStart"/>
      <w:r w:rsidRPr="00DB285D">
        <w:rPr>
          <w:rFonts w:ascii="Times New Roman" w:hAnsi="Times New Roman"/>
          <w:i/>
          <w:color w:val="000000"/>
          <w:sz w:val="24"/>
          <w:szCs w:val="24"/>
        </w:rPr>
        <w:t>harbours</w:t>
      </w:r>
      <w:proofErr w:type="spellEnd"/>
      <w:r w:rsidRPr="00DB285D">
        <w:rPr>
          <w:rFonts w:ascii="Times New Roman" w:hAnsi="Times New Roman"/>
          <w:i/>
          <w:color w:val="000000"/>
          <w:sz w:val="24"/>
          <w:szCs w:val="24"/>
        </w:rPr>
        <w:t xml:space="preserve"> and estuaries, unless it is demonstrated by the ship operator that such wash water discharge has no significant negative impacts on and do not pose risks to human health and the environment. If the chemical used is caustic soda it is sufficient that the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meets the criteria set out in Resolution MEPC.184(59) and its pH does not exceed 8,0.</w:t>
      </w:r>
    </w:p>
    <w:p w:rsidR="002F175F" w:rsidRPr="00DB285D" w:rsidRDefault="002F175F" w:rsidP="002F175F">
      <w:pPr>
        <w:pStyle w:val="ListParagraph"/>
        <w:autoSpaceDE w:val="0"/>
        <w:autoSpaceDN w:val="0"/>
        <w:adjustRightInd w:val="0"/>
        <w:spacing w:after="0" w:line="240" w:lineRule="auto"/>
        <w:jc w:val="both"/>
        <w:rPr>
          <w:rFonts w:ascii="Times New Roman" w:hAnsi="Times New Roman"/>
          <w:b/>
          <w:i/>
          <w:color w:val="000000"/>
          <w:sz w:val="24"/>
          <w:szCs w:val="24"/>
          <w:u w:val="single"/>
        </w:rPr>
      </w:pPr>
    </w:p>
    <w:p w:rsidR="002F175F" w:rsidRPr="00DB285D" w:rsidRDefault="002F175F" w:rsidP="002F175F">
      <w:pPr>
        <w:pStyle w:val="ListParagraph"/>
        <w:numPr>
          <w:ilvl w:val="0"/>
          <w:numId w:val="26"/>
        </w:numPr>
        <w:autoSpaceDE w:val="0"/>
        <w:autoSpaceDN w:val="0"/>
        <w:adjustRightInd w:val="0"/>
        <w:spacing w:after="0" w:line="240" w:lineRule="auto"/>
        <w:jc w:val="both"/>
        <w:rPr>
          <w:rFonts w:ascii="Times New Roman" w:hAnsi="Times New Roman"/>
          <w:i/>
          <w:color w:val="000000"/>
          <w:sz w:val="24"/>
          <w:szCs w:val="24"/>
        </w:rPr>
      </w:pPr>
      <w:r w:rsidRPr="00DB285D">
        <w:rPr>
          <w:rFonts w:ascii="Times New Roman" w:hAnsi="Times New Roman"/>
          <w:b/>
          <w:i/>
          <w:color w:val="000000"/>
          <w:sz w:val="24"/>
          <w:szCs w:val="24"/>
          <w:u w:val="single"/>
        </w:rPr>
        <w:t>Note 3:</w:t>
      </w:r>
      <w:r w:rsidRPr="00DB285D">
        <w:rPr>
          <w:rFonts w:ascii="Times New Roman" w:hAnsi="Times New Roman"/>
          <w:b/>
          <w:i/>
          <w:color w:val="000000"/>
          <w:sz w:val="24"/>
          <w:szCs w:val="24"/>
        </w:rPr>
        <w:t xml:space="preserve"> </w:t>
      </w:r>
      <w:r w:rsidRPr="00DB285D">
        <w:rPr>
          <w:rFonts w:ascii="Times New Roman" w:hAnsi="Times New Roman"/>
          <w:i/>
          <w:color w:val="000000"/>
          <w:sz w:val="24"/>
          <w:szCs w:val="24"/>
        </w:rPr>
        <w:t xml:space="preserve">Exhaust gas scrubber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discharge must not contain oil, including oily mixtures, in quantities that may be harmful as determined in accordance with 40 CFR Part 110. Sludge or residues generated in treating exhaust gas scrubber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discharge must not be discharged in waters subject to this permit and must be delivered ashore to adequate reception facilities. The discharge of </w:t>
      </w:r>
      <w:proofErr w:type="spellStart"/>
      <w:r w:rsidRPr="00DB285D">
        <w:rPr>
          <w:rFonts w:ascii="Times New Roman" w:hAnsi="Times New Roman"/>
          <w:i/>
          <w:color w:val="000000"/>
          <w:sz w:val="24"/>
          <w:szCs w:val="24"/>
        </w:rPr>
        <w:t>washwater</w:t>
      </w:r>
      <w:proofErr w:type="spellEnd"/>
      <w:r w:rsidRPr="00DB285D">
        <w:rPr>
          <w:rFonts w:ascii="Times New Roman" w:hAnsi="Times New Roman"/>
          <w:i/>
          <w:color w:val="000000"/>
          <w:sz w:val="24"/>
          <w:szCs w:val="24"/>
        </w:rPr>
        <w:t xml:space="preserve"> from the exhaust gas scrubber treatment system must have a pH of no less than 6.0 measured at the ship’s overboard discharge, with the exception that during maneuvering and transit, the maximum difference between inlet and outlet of 2.0 pH units is allowed. This difference is to be measured at the ship’s inlet and overboard discharge.</w:t>
      </w:r>
    </w:p>
    <w:p w:rsidR="002F175F" w:rsidRPr="00DB285D" w:rsidRDefault="002F175F" w:rsidP="002F175F">
      <w:pPr>
        <w:pStyle w:val="ListParagraph"/>
        <w:jc w:val="both"/>
        <w:rPr>
          <w:rFonts w:ascii="Times New Roman" w:hAnsi="Times New Roman"/>
          <w:i/>
          <w:color w:val="000000"/>
          <w:sz w:val="24"/>
          <w:szCs w:val="24"/>
        </w:rPr>
      </w:pPr>
    </w:p>
    <w:p w:rsidR="002F175F" w:rsidRPr="00DB285D" w:rsidRDefault="002F175F" w:rsidP="002F175F">
      <w:pPr>
        <w:pStyle w:val="ListParagraph"/>
        <w:numPr>
          <w:ilvl w:val="0"/>
          <w:numId w:val="26"/>
        </w:numPr>
        <w:autoSpaceDE w:val="0"/>
        <w:autoSpaceDN w:val="0"/>
        <w:adjustRightInd w:val="0"/>
        <w:spacing w:after="0" w:line="240" w:lineRule="auto"/>
        <w:jc w:val="both"/>
        <w:rPr>
          <w:rFonts w:ascii="Times New Roman" w:hAnsi="Times New Roman"/>
          <w:i/>
          <w:color w:val="000000"/>
          <w:sz w:val="24"/>
          <w:szCs w:val="24"/>
        </w:rPr>
      </w:pPr>
      <w:r w:rsidRPr="00DB285D">
        <w:rPr>
          <w:rFonts w:ascii="Times New Roman" w:hAnsi="Times New Roman"/>
          <w:b/>
          <w:i/>
          <w:color w:val="000000"/>
          <w:sz w:val="24"/>
          <w:szCs w:val="24"/>
          <w:u w:val="single"/>
        </w:rPr>
        <w:t>Note 4:</w:t>
      </w:r>
      <w:r w:rsidRPr="00DB285D">
        <w:rPr>
          <w:rFonts w:ascii="Times New Roman" w:hAnsi="Times New Roman"/>
          <w:b/>
          <w:i/>
          <w:color w:val="000000"/>
          <w:sz w:val="24"/>
          <w:szCs w:val="24"/>
        </w:rPr>
        <w:t xml:space="preserve"> </w:t>
      </w:r>
      <w:proofErr w:type="spellStart"/>
      <w:r w:rsidRPr="00DB285D">
        <w:rPr>
          <w:rFonts w:ascii="Times New Roman" w:hAnsi="Times New Roman"/>
          <w:i/>
          <w:color w:val="000000"/>
          <w:sz w:val="24"/>
          <w:szCs w:val="24"/>
        </w:rPr>
        <w:t>SOx</w:t>
      </w:r>
      <w:proofErr w:type="spellEnd"/>
      <w:r w:rsidRPr="00DB285D">
        <w:rPr>
          <w:rFonts w:ascii="Times New Roman" w:hAnsi="Times New Roman"/>
          <w:i/>
          <w:color w:val="000000"/>
          <w:sz w:val="24"/>
          <w:szCs w:val="24"/>
        </w:rPr>
        <w:t xml:space="preserve"> scrubbers are not allowed under the OGV fuel rule as an equivalency to 0.1% </w:t>
      </w:r>
      <w:proofErr w:type="spellStart"/>
      <w:r w:rsidRPr="00DB285D">
        <w:rPr>
          <w:rFonts w:ascii="Times New Roman" w:hAnsi="Times New Roman"/>
          <w:i/>
          <w:color w:val="000000"/>
          <w:sz w:val="24"/>
          <w:szCs w:val="24"/>
        </w:rPr>
        <w:t>sulphur</w:t>
      </w:r>
      <w:proofErr w:type="spellEnd"/>
      <w:r w:rsidRPr="00DB285D">
        <w:rPr>
          <w:rFonts w:ascii="Times New Roman" w:hAnsi="Times New Roman"/>
          <w:i/>
          <w:color w:val="000000"/>
          <w:sz w:val="24"/>
          <w:szCs w:val="24"/>
        </w:rPr>
        <w:t xml:space="preserve"> distillate fuel. There is an exemption provided for research projects in accordance with Marine Notice 2017-1. This exemption is very limited, allowing for the temporary use of non-compliant fuel (e.g. high </w:t>
      </w:r>
      <w:proofErr w:type="spellStart"/>
      <w:r w:rsidRPr="00DB285D">
        <w:rPr>
          <w:rFonts w:ascii="Times New Roman" w:hAnsi="Times New Roman"/>
          <w:i/>
          <w:color w:val="000000"/>
          <w:sz w:val="24"/>
          <w:szCs w:val="24"/>
        </w:rPr>
        <w:t>sulphur</w:t>
      </w:r>
      <w:proofErr w:type="spellEnd"/>
      <w:r w:rsidRPr="00DB285D">
        <w:rPr>
          <w:rFonts w:ascii="Times New Roman" w:hAnsi="Times New Roman"/>
          <w:i/>
          <w:color w:val="000000"/>
          <w:sz w:val="24"/>
          <w:szCs w:val="24"/>
        </w:rPr>
        <w:t xml:space="preserve"> heavy fuel oil) when necessary for a research project.</w:t>
      </w:r>
    </w:p>
    <w:p w:rsidR="002F175F" w:rsidRPr="00DB285D" w:rsidRDefault="002F175F" w:rsidP="002F175F">
      <w:pPr>
        <w:pStyle w:val="ListParagraph"/>
        <w:jc w:val="both"/>
        <w:rPr>
          <w:rFonts w:ascii="Times New Roman" w:hAnsi="Times New Roman"/>
          <w:i/>
          <w:color w:val="000000"/>
          <w:sz w:val="24"/>
          <w:szCs w:val="24"/>
        </w:rPr>
      </w:pPr>
    </w:p>
    <w:p w:rsidR="002F175F" w:rsidRPr="00DB285D" w:rsidRDefault="002F175F" w:rsidP="002F175F">
      <w:pPr>
        <w:pStyle w:val="ListParagraph"/>
        <w:numPr>
          <w:ilvl w:val="0"/>
          <w:numId w:val="26"/>
        </w:numPr>
        <w:autoSpaceDE w:val="0"/>
        <w:autoSpaceDN w:val="0"/>
        <w:adjustRightInd w:val="0"/>
        <w:spacing w:after="0" w:line="240" w:lineRule="auto"/>
        <w:jc w:val="both"/>
        <w:rPr>
          <w:rFonts w:ascii="Times New Roman" w:hAnsi="Times New Roman"/>
          <w:i/>
          <w:color w:val="000000"/>
          <w:sz w:val="24"/>
          <w:szCs w:val="24"/>
        </w:rPr>
      </w:pPr>
      <w:r w:rsidRPr="00DB285D">
        <w:rPr>
          <w:rFonts w:ascii="Times New Roman" w:hAnsi="Times New Roman"/>
          <w:b/>
          <w:i/>
          <w:color w:val="000000"/>
          <w:sz w:val="24"/>
          <w:szCs w:val="24"/>
          <w:u w:val="single"/>
        </w:rPr>
        <w:t>Note 5:</w:t>
      </w:r>
      <w:r w:rsidRPr="00DB285D">
        <w:rPr>
          <w:rFonts w:ascii="Times New Roman" w:hAnsi="Times New Roman"/>
          <w:b/>
          <w:i/>
          <w:color w:val="000000"/>
          <w:sz w:val="24"/>
          <w:szCs w:val="24"/>
        </w:rPr>
        <w:t xml:space="preserve"> </w:t>
      </w:r>
      <w:r w:rsidRPr="00DB285D">
        <w:rPr>
          <w:rFonts w:ascii="Times New Roman" w:hAnsi="Times New Roman"/>
          <w:i/>
          <w:color w:val="000000"/>
          <w:sz w:val="24"/>
          <w:szCs w:val="24"/>
        </w:rPr>
        <w:t xml:space="preserve">Approved technologies such as </w:t>
      </w:r>
      <w:proofErr w:type="spellStart"/>
      <w:r w:rsidRPr="00DB285D">
        <w:rPr>
          <w:rFonts w:ascii="Times New Roman" w:hAnsi="Times New Roman"/>
          <w:i/>
          <w:color w:val="000000"/>
          <w:sz w:val="24"/>
          <w:szCs w:val="24"/>
        </w:rPr>
        <w:t>SOx</w:t>
      </w:r>
      <w:proofErr w:type="spellEnd"/>
      <w:r w:rsidRPr="00DB285D">
        <w:rPr>
          <w:rFonts w:ascii="Times New Roman" w:hAnsi="Times New Roman"/>
          <w:i/>
          <w:color w:val="000000"/>
          <w:sz w:val="24"/>
          <w:szCs w:val="24"/>
        </w:rPr>
        <w:t xml:space="preserve"> scrubbers may be used subject to their ability to achieve a reduction of </w:t>
      </w:r>
      <w:proofErr w:type="spellStart"/>
      <w:r w:rsidRPr="00DB285D">
        <w:rPr>
          <w:rFonts w:ascii="Times New Roman" w:hAnsi="Times New Roman"/>
          <w:i/>
          <w:color w:val="000000"/>
          <w:sz w:val="24"/>
          <w:szCs w:val="24"/>
        </w:rPr>
        <w:t>sulphur</w:t>
      </w:r>
      <w:proofErr w:type="spellEnd"/>
      <w:r w:rsidRPr="00DB285D">
        <w:rPr>
          <w:rFonts w:ascii="Times New Roman" w:hAnsi="Times New Roman"/>
          <w:i/>
          <w:color w:val="000000"/>
          <w:sz w:val="24"/>
          <w:szCs w:val="24"/>
        </w:rPr>
        <w:t xml:space="preserve"> dioxide, which could be considered at least as effective as the use of low-</w:t>
      </w:r>
      <w:proofErr w:type="spellStart"/>
      <w:r w:rsidRPr="00DB285D">
        <w:rPr>
          <w:rFonts w:ascii="Times New Roman" w:hAnsi="Times New Roman"/>
          <w:i/>
          <w:color w:val="000000"/>
          <w:sz w:val="24"/>
          <w:szCs w:val="24"/>
        </w:rPr>
        <w:t>sulphur</w:t>
      </w:r>
      <w:proofErr w:type="spellEnd"/>
      <w:r w:rsidRPr="00DB285D">
        <w:rPr>
          <w:rFonts w:ascii="Times New Roman" w:hAnsi="Times New Roman"/>
          <w:i/>
          <w:color w:val="000000"/>
          <w:sz w:val="24"/>
          <w:szCs w:val="24"/>
        </w:rPr>
        <w:t xml:space="preserve"> marine fuel. Ocean going vessels installed with such approved technologies may be exempt from switching to one of the compliant fuels. Written applications for exemptions on the basis of the use of approved technologies must be made to the authorities at least 14 days before the date on which the vessel intends to make its first exempted call at Hong Kong.</w:t>
      </w:r>
    </w:p>
    <w:p w:rsidR="00A44692" w:rsidRDefault="00A44692" w:rsidP="00A44692">
      <w:pPr>
        <w:pStyle w:val="Default"/>
        <w:spacing w:after="240"/>
        <w:jc w:val="both"/>
        <w:rPr>
          <w:rFonts w:ascii="Times New Roman" w:hAnsi="Times New Roman"/>
          <w:b/>
        </w:rPr>
      </w:pPr>
    </w:p>
    <w:p w:rsidR="00A44692" w:rsidRDefault="00A44692" w:rsidP="00A44692">
      <w:pPr>
        <w:pStyle w:val="Default"/>
        <w:jc w:val="both"/>
        <w:rPr>
          <w:rFonts w:ascii="Times New Roman" w:hAnsi="Times New Roman"/>
          <w:b/>
        </w:rPr>
      </w:pPr>
      <w:r w:rsidRPr="00F6657F">
        <w:rPr>
          <w:rFonts w:ascii="Times New Roman" w:hAnsi="Times New Roman"/>
          <w:b/>
        </w:rPr>
        <w:t>Enclosure:</w:t>
      </w:r>
      <w:r>
        <w:rPr>
          <w:rFonts w:ascii="Times New Roman" w:hAnsi="Times New Roman"/>
          <w:b/>
        </w:rPr>
        <w:t xml:space="preserve"> </w:t>
      </w:r>
    </w:p>
    <w:p w:rsidR="00CA7A74" w:rsidRPr="002F175F" w:rsidRDefault="00A44692" w:rsidP="002F175F">
      <w:pPr>
        <w:pStyle w:val="Default"/>
        <w:numPr>
          <w:ilvl w:val="0"/>
          <w:numId w:val="24"/>
        </w:numPr>
        <w:spacing w:line="276" w:lineRule="auto"/>
        <w:ind w:hanging="1014"/>
        <w:jc w:val="both"/>
        <w:rPr>
          <w:rFonts w:ascii="Times New Roman" w:hAnsi="Times New Roman"/>
        </w:rPr>
      </w:pPr>
      <w:r w:rsidRPr="002F175F">
        <w:rPr>
          <w:rFonts w:ascii="Times New Roman" w:hAnsi="Times New Roman"/>
        </w:rPr>
        <w:t>Nil.</w:t>
      </w:r>
    </w:p>
    <w:sectPr w:rsidR="00CA7A74" w:rsidRPr="002F175F" w:rsidSect="00091560">
      <w:pgSz w:w="11907" w:h="16839" w:code="9"/>
      <w:pgMar w:top="1440" w:right="1440" w:bottom="22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AA" w:rsidRDefault="006A02AA" w:rsidP="009C6FFC">
      <w:pPr>
        <w:spacing w:after="0" w:line="240" w:lineRule="auto"/>
      </w:pPr>
      <w:r>
        <w:separator/>
      </w:r>
    </w:p>
  </w:endnote>
  <w:endnote w:type="continuationSeparator" w:id="0">
    <w:p w:rsidR="006A02AA" w:rsidRDefault="006A02AA" w:rsidP="009C6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64" w:rsidRDefault="00F76C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D" w:rsidRDefault="00524CA3" w:rsidP="004605AB">
    <w:pPr>
      <w:pStyle w:val="Footer"/>
      <w:jc w:val="right"/>
    </w:pPr>
    <w:r>
      <w:rPr>
        <w:noProof/>
      </w:rPr>
      <w:pict>
        <v:shapetype id="_x0000_t202" coordsize="21600,21600" o:spt="202" path="m,l,21600r21600,l21600,xe">
          <v:stroke joinstyle="miter"/>
          <v:path gradientshapeok="t" o:connecttype="rect"/>
        </v:shapetype>
        <v:shape id="_x0000_s2056" type="#_x0000_t202" style="position:absolute;left:0;text-align:left;margin-left:-81.75pt;margin-top:-66.2pt;width:611.25pt;height:117.4pt;z-index:251657216" strokeweight="1pt">
          <v:stroke dashstyle="dash"/>
          <v:shadow color="#868686"/>
          <v:textbox style="mso-next-textbox:#_x0000_s2056">
            <w:txbxContent>
              <w:p w:rsidR="00E333BD" w:rsidRPr="003009F1" w:rsidRDefault="00E333BD" w:rsidP="003009F1">
                <w:pPr>
                  <w:pStyle w:val="ListParagraph"/>
                  <w:tabs>
                    <w:tab w:val="left" w:pos="0"/>
                    <w:tab w:val="left" w:pos="90"/>
                  </w:tabs>
                  <w:ind w:left="3600" w:hanging="3510"/>
                  <w:rPr>
                    <w:b/>
                  </w:rPr>
                </w:pPr>
                <w:r w:rsidRPr="00F56FD8">
                  <w:rPr>
                    <w:color w:val="FFFFFF"/>
                  </w:rPr>
                  <w:tab/>
                </w:r>
              </w:p>
              <w:p w:rsidR="00E333BD" w:rsidRDefault="00E333BD" w:rsidP="00101843">
                <w:pPr>
                  <w:ind w:left="720"/>
                </w:pPr>
                <w:r>
                  <w:rPr>
                    <w:rFonts w:ascii="Times New Roman" w:hAnsi="Times New Roman"/>
                    <w:sz w:val="24"/>
                    <w:szCs w:val="24"/>
                  </w:rPr>
                  <w:t>Whilst the utmost care has been taken in the compilation of the Technical Information, neither Indian Register of Shipping, its affiliates and subsidiaries if any, nor any of its directors, officers, employees or agents assume any responsibility and shall not be liable to any person for any loss, damage or expense caused in any manner whatsoever by reliance on the information in this document.</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BD" w:rsidRDefault="00524CA3" w:rsidP="003009F1">
    <w:pPr>
      <w:pStyle w:val="ListParagraph"/>
      <w:tabs>
        <w:tab w:val="left" w:pos="0"/>
        <w:tab w:val="left" w:pos="90"/>
      </w:tabs>
      <w:ind w:left="3600" w:hanging="3510"/>
    </w:pPr>
    <w:r w:rsidRPr="00524CA3">
      <w:rPr>
        <w:b/>
        <w:noProof/>
        <w:lang w:val="en-IN" w:eastAsia="en-IN"/>
      </w:rPr>
      <w:pict>
        <v:rect id="_x0000_s2059" style="position:absolute;left:0;text-align:left;margin-left:-76.5pt;margin-top:-55.7pt;width:604.5pt;height:117.15pt;z-index:251658240" fillcolor="#4f81bd" strokecolor="#f2f2f2" strokeweight="3pt">
          <v:shadow on="t" type="perspective" color="#243f60" opacity=".5" offset="1pt" offset2="-1pt"/>
          <v:textbox style="mso-next-textbox:#_x0000_s2059">
            <w:txbxContent>
              <w:p w:rsidR="00E333BD" w:rsidRPr="002D4A50" w:rsidRDefault="00524CA3" w:rsidP="00101843">
                <w:pPr>
                  <w:spacing w:after="0" w:line="240" w:lineRule="auto"/>
                  <w:ind w:left="2835" w:hanging="2835"/>
                  <w:rPr>
                    <w:b/>
                    <w:color w:val="FFFFFF"/>
                  </w:rPr>
                </w:pPr>
                <w:r w:rsidRPr="00524CA3">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9pt;height:27.15pt" filled="t">
                      <v:imagedata r:id="rId1" o:title="irclass-logo-small (1)"/>
                    </v:shape>
                  </w:pict>
                </w:r>
                <w:r w:rsidR="00E333BD">
                  <w:rPr>
                    <w:noProof/>
                  </w:rPr>
                  <w:tab/>
                </w:r>
                <w:r w:rsidR="00E333BD" w:rsidRPr="002D4A50">
                  <w:rPr>
                    <w:noProof/>
                    <w:color w:val="FFFFFF"/>
                  </w:rPr>
                  <w:t xml:space="preserve">. </w:t>
                </w:r>
                <w:r w:rsidR="00E333BD" w:rsidRPr="002D4A50">
                  <w:rPr>
                    <w:b/>
                    <w:color w:val="FFFFFF"/>
                  </w:rPr>
                  <w:t>This Technical Circular</w:t>
                </w:r>
                <w:r w:rsidR="00E333BD">
                  <w:rPr>
                    <w:b/>
                    <w:color w:val="FFFFFF"/>
                  </w:rPr>
                  <w:t xml:space="preserve"> and the material contained in it</w:t>
                </w:r>
                <w:r w:rsidR="00E333BD" w:rsidRPr="002D4A50">
                  <w:rPr>
                    <w:b/>
                    <w:color w:val="FFFFFF"/>
                  </w:rPr>
                  <w:t xml:space="preserve"> is provided only for the purpose of supplying current information to the reader</w:t>
                </w:r>
                <w:r w:rsidR="00E333BD">
                  <w:rPr>
                    <w:b/>
                    <w:color w:val="FFFFFF"/>
                  </w:rPr>
                  <w:t xml:space="preserve"> and not as an advice to be relied upon by any person</w:t>
                </w:r>
                <w:r w:rsidR="00E333BD" w:rsidRPr="002D4A50">
                  <w:rPr>
                    <w:b/>
                    <w:color w:val="FFFFFF"/>
                  </w:rPr>
                  <w:t>.</w:t>
                </w:r>
              </w:p>
              <w:p w:rsidR="00E333BD" w:rsidRPr="002D4A50" w:rsidRDefault="00E333BD" w:rsidP="00101843">
                <w:pPr>
                  <w:pStyle w:val="Footer"/>
                  <w:tabs>
                    <w:tab w:val="clear" w:pos="4680"/>
                    <w:tab w:val="center" w:pos="2835"/>
                  </w:tabs>
                  <w:ind w:left="2835"/>
                  <w:rPr>
                    <w:color w:val="FFFFFF"/>
                  </w:rPr>
                </w:pPr>
                <w:r w:rsidRPr="002D4A50">
                  <w:rPr>
                    <w:b/>
                    <w:color w:val="FFFFFF"/>
                  </w:rPr>
                  <w:t>. While we have taken utmost care to be as factual as possible, readers</w:t>
                </w:r>
                <w:r>
                  <w:rPr>
                    <w:b/>
                    <w:color w:val="FFFFFF"/>
                  </w:rPr>
                  <w:t xml:space="preserve">/ users are advised to verify </w:t>
                </w:r>
                <w:r w:rsidRPr="002D4A50">
                  <w:rPr>
                    <w:b/>
                    <w:color w:val="FFFFFF"/>
                  </w:rPr>
                  <w:t>the exact text and content of the Regulation from the original source</w:t>
                </w:r>
                <w:r>
                  <w:rPr>
                    <w:b/>
                    <w:color w:val="FFFFFF"/>
                  </w:rPr>
                  <w:t>/ issuing Authority</w:t>
                </w:r>
                <w:r w:rsidRPr="002D4A50">
                  <w:rPr>
                    <w:b/>
                    <w:color w:val="FFFFFF"/>
                  </w:rPr>
                  <w:t>.</w:t>
                </w:r>
              </w:p>
              <w:p w:rsidR="00E333BD" w:rsidRPr="002D4A50" w:rsidRDefault="00E333BD">
                <w:pPr>
                  <w:rPr>
                    <w:color w:val="FFFFFF"/>
                  </w:rPr>
                </w:pPr>
              </w:p>
            </w:txbxContent>
          </v:textbox>
        </v:rect>
      </w:pict>
    </w:r>
    <w:r w:rsidR="00E333BD" w:rsidRPr="003009F1">
      <w:rPr>
        <w:b/>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64" w:rsidRDefault="00F76C64" w:rsidP="003009F1">
    <w:pPr>
      <w:pStyle w:val="ListParagraph"/>
      <w:tabs>
        <w:tab w:val="left" w:pos="0"/>
        <w:tab w:val="left" w:pos="90"/>
      </w:tabs>
      <w:ind w:left="3600" w:hanging="3510"/>
    </w:pPr>
    <w:r w:rsidRPr="003009F1">
      <w:rPr>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AA" w:rsidRDefault="006A02AA" w:rsidP="009C6FFC">
      <w:pPr>
        <w:spacing w:after="0" w:line="240" w:lineRule="auto"/>
      </w:pPr>
      <w:r>
        <w:separator/>
      </w:r>
    </w:p>
  </w:footnote>
  <w:footnote w:type="continuationSeparator" w:id="0">
    <w:p w:rsidR="006A02AA" w:rsidRDefault="006A02AA" w:rsidP="009C6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64" w:rsidRDefault="00F76C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64" w:rsidRDefault="00F76C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C64" w:rsidRDefault="00F76C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DDE"/>
    <w:multiLevelType w:val="hybridMultilevel"/>
    <w:tmpl w:val="28C8E63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8FA1348"/>
    <w:multiLevelType w:val="hybridMultilevel"/>
    <w:tmpl w:val="E6EC91FE"/>
    <w:lvl w:ilvl="0" w:tplc="6F28BFE0">
      <w:start w:val="1"/>
      <w:numFmt w:val="lowerRoman"/>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461DDF"/>
    <w:multiLevelType w:val="hybridMultilevel"/>
    <w:tmpl w:val="04162D4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3735B98"/>
    <w:multiLevelType w:val="hybridMultilevel"/>
    <w:tmpl w:val="FD928C12"/>
    <w:lvl w:ilvl="0" w:tplc="6F28BFE0">
      <w:start w:val="1"/>
      <w:numFmt w:val="lowerRoman"/>
      <w:lvlText w:val="%1."/>
      <w:lvlJc w:val="left"/>
      <w:pPr>
        <w:ind w:left="1080" w:hanging="360"/>
      </w:pPr>
      <w:rPr>
        <w:rFonts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16823"/>
    <w:multiLevelType w:val="hybridMultilevel"/>
    <w:tmpl w:val="CC9E76E8"/>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18FD4AF3"/>
    <w:multiLevelType w:val="hybridMultilevel"/>
    <w:tmpl w:val="71B236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F226A"/>
    <w:multiLevelType w:val="hybridMultilevel"/>
    <w:tmpl w:val="D2C670EA"/>
    <w:lvl w:ilvl="0" w:tplc="6F28BFE0">
      <w:start w:val="1"/>
      <w:numFmt w:val="lowerRoman"/>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797053"/>
    <w:multiLevelType w:val="hybridMultilevel"/>
    <w:tmpl w:val="EA045E2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660651B"/>
    <w:multiLevelType w:val="hybridMultilevel"/>
    <w:tmpl w:val="01965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8531BB"/>
    <w:multiLevelType w:val="hybridMultilevel"/>
    <w:tmpl w:val="A94A0964"/>
    <w:lvl w:ilvl="0" w:tplc="04090001">
      <w:start w:val="1"/>
      <w:numFmt w:val="bullet"/>
      <w:lvlText w:val=""/>
      <w:lvlJc w:val="left"/>
      <w:pPr>
        <w:ind w:left="990" w:hanging="360"/>
      </w:pPr>
      <w:rPr>
        <w:rFonts w:ascii="Symbol" w:hAnsi="Symbol"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9F6778C"/>
    <w:multiLevelType w:val="hybridMultilevel"/>
    <w:tmpl w:val="C2861E80"/>
    <w:lvl w:ilvl="0" w:tplc="0409000B">
      <w:start w:val="1"/>
      <w:numFmt w:val="bullet"/>
      <w:lvlText w:val=""/>
      <w:lvlJc w:val="left"/>
      <w:pPr>
        <w:ind w:left="1440" w:hanging="360"/>
      </w:pPr>
      <w:rPr>
        <w:rFonts w:ascii="Wingdings" w:hAnsi="Wingding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660206"/>
    <w:multiLevelType w:val="hybridMultilevel"/>
    <w:tmpl w:val="7A385C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83136F"/>
    <w:multiLevelType w:val="hybridMultilevel"/>
    <w:tmpl w:val="E6F02576"/>
    <w:lvl w:ilvl="0" w:tplc="4196A1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D84EEE"/>
    <w:multiLevelType w:val="hybridMultilevel"/>
    <w:tmpl w:val="9718E45C"/>
    <w:lvl w:ilvl="0" w:tplc="EE2EFB6E">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7611B8"/>
    <w:multiLevelType w:val="hybridMultilevel"/>
    <w:tmpl w:val="2B3AA8D8"/>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D677A3"/>
    <w:multiLevelType w:val="hybridMultilevel"/>
    <w:tmpl w:val="C916D68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EF86483"/>
    <w:multiLevelType w:val="hybridMultilevel"/>
    <w:tmpl w:val="818C57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F13A73"/>
    <w:multiLevelType w:val="hybridMultilevel"/>
    <w:tmpl w:val="E424F8D0"/>
    <w:lvl w:ilvl="0" w:tplc="6F28BFE0">
      <w:start w:val="1"/>
      <w:numFmt w:val="lowerRoman"/>
      <w:lvlText w:val="%1."/>
      <w:lvlJc w:val="left"/>
      <w:pPr>
        <w:ind w:left="1500" w:hanging="360"/>
      </w:pPr>
      <w:rPr>
        <w:rFonts w:hint="default"/>
        <w:b w:val="0"/>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50534973"/>
    <w:multiLevelType w:val="hybridMultilevel"/>
    <w:tmpl w:val="7FBE1A66"/>
    <w:lvl w:ilvl="0" w:tplc="3BD2309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AF35BF0"/>
    <w:multiLevelType w:val="hybridMultilevel"/>
    <w:tmpl w:val="F962D63C"/>
    <w:lvl w:ilvl="0" w:tplc="EBD021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ABA1E9B"/>
    <w:multiLevelType w:val="hybridMultilevel"/>
    <w:tmpl w:val="982425C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6D8B2E28"/>
    <w:multiLevelType w:val="hybridMultilevel"/>
    <w:tmpl w:val="E5160470"/>
    <w:lvl w:ilvl="0" w:tplc="0409000B">
      <w:start w:val="1"/>
      <w:numFmt w:val="bullet"/>
      <w:lvlText w:val=""/>
      <w:lvlJc w:val="left"/>
      <w:pPr>
        <w:ind w:left="1890" w:hanging="360"/>
      </w:pPr>
      <w:rPr>
        <w:rFonts w:ascii="Wingdings" w:hAnsi="Wingding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6F782C57"/>
    <w:multiLevelType w:val="hybridMultilevel"/>
    <w:tmpl w:val="E2FEEF58"/>
    <w:lvl w:ilvl="0" w:tplc="CF5697E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827BE"/>
    <w:multiLevelType w:val="hybridMultilevel"/>
    <w:tmpl w:val="A97EBB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7461B29"/>
    <w:multiLevelType w:val="hybridMultilevel"/>
    <w:tmpl w:val="55A278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21"/>
  </w:num>
  <w:num w:numId="3">
    <w:abstractNumId w:val="17"/>
  </w:num>
  <w:num w:numId="4">
    <w:abstractNumId w:val="6"/>
  </w:num>
  <w:num w:numId="5">
    <w:abstractNumId w:val="1"/>
  </w:num>
  <w:num w:numId="6">
    <w:abstractNumId w:val="10"/>
  </w:num>
  <w:num w:numId="7">
    <w:abstractNumId w:val="15"/>
  </w:num>
  <w:num w:numId="8">
    <w:abstractNumId w:val="12"/>
  </w:num>
  <w:num w:numId="9">
    <w:abstractNumId w:val="11"/>
  </w:num>
  <w:num w:numId="10">
    <w:abstractNumId w:val="14"/>
  </w:num>
  <w:num w:numId="11">
    <w:abstractNumId w:val="3"/>
  </w:num>
  <w:num w:numId="12">
    <w:abstractNumId w:val="16"/>
  </w:num>
  <w:num w:numId="13">
    <w:abstractNumId w:val="7"/>
  </w:num>
  <w:num w:numId="14">
    <w:abstractNumId w:val="0"/>
  </w:num>
  <w:num w:numId="15">
    <w:abstractNumId w:val="4"/>
  </w:num>
  <w:num w:numId="16">
    <w:abstractNumId w:val="2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24"/>
  </w:num>
  <w:num w:numId="21">
    <w:abstractNumId w:val="18"/>
  </w:num>
  <w:num w:numId="22">
    <w:abstractNumId w:val="13"/>
  </w:num>
  <w:num w:numId="23">
    <w:abstractNumId w:val="8"/>
  </w:num>
  <w:num w:numId="24">
    <w:abstractNumId w:val="23"/>
  </w:num>
  <w:num w:numId="25">
    <w:abstractNumId w:val="5"/>
  </w:num>
  <w:num w:numId="2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E49"/>
    <w:rsid w:val="0001102D"/>
    <w:rsid w:val="00014B9B"/>
    <w:rsid w:val="00015352"/>
    <w:rsid w:val="00017310"/>
    <w:rsid w:val="00020AE6"/>
    <w:rsid w:val="00021FA3"/>
    <w:rsid w:val="00032189"/>
    <w:rsid w:val="0003270C"/>
    <w:rsid w:val="000337BC"/>
    <w:rsid w:val="00037881"/>
    <w:rsid w:val="000411CE"/>
    <w:rsid w:val="00050164"/>
    <w:rsid w:val="0006067E"/>
    <w:rsid w:val="00060B7C"/>
    <w:rsid w:val="000623CB"/>
    <w:rsid w:val="0006253C"/>
    <w:rsid w:val="00072BCE"/>
    <w:rsid w:val="00073AF4"/>
    <w:rsid w:val="00080062"/>
    <w:rsid w:val="00083DAE"/>
    <w:rsid w:val="00087D9C"/>
    <w:rsid w:val="00091560"/>
    <w:rsid w:val="000A3BC0"/>
    <w:rsid w:val="000B0C66"/>
    <w:rsid w:val="000B1927"/>
    <w:rsid w:val="000B56FB"/>
    <w:rsid w:val="000C6C5B"/>
    <w:rsid w:val="000C7D2E"/>
    <w:rsid w:val="000D1B40"/>
    <w:rsid w:val="000E28DF"/>
    <w:rsid w:val="000F05D9"/>
    <w:rsid w:val="000F167D"/>
    <w:rsid w:val="000F23D0"/>
    <w:rsid w:val="000F3F23"/>
    <w:rsid w:val="000F4717"/>
    <w:rsid w:val="000F5903"/>
    <w:rsid w:val="000F79C7"/>
    <w:rsid w:val="00101843"/>
    <w:rsid w:val="001050A0"/>
    <w:rsid w:val="00105298"/>
    <w:rsid w:val="00106603"/>
    <w:rsid w:val="001137B5"/>
    <w:rsid w:val="00121D33"/>
    <w:rsid w:val="00121E17"/>
    <w:rsid w:val="0012755A"/>
    <w:rsid w:val="0013346B"/>
    <w:rsid w:val="00144425"/>
    <w:rsid w:val="0014452F"/>
    <w:rsid w:val="001465E2"/>
    <w:rsid w:val="0014673F"/>
    <w:rsid w:val="00150631"/>
    <w:rsid w:val="00150A63"/>
    <w:rsid w:val="00151A0F"/>
    <w:rsid w:val="001630DE"/>
    <w:rsid w:val="00170672"/>
    <w:rsid w:val="00174AE8"/>
    <w:rsid w:val="001759C0"/>
    <w:rsid w:val="001834B0"/>
    <w:rsid w:val="00187DA6"/>
    <w:rsid w:val="00190B80"/>
    <w:rsid w:val="0019463A"/>
    <w:rsid w:val="0019552B"/>
    <w:rsid w:val="001A0D10"/>
    <w:rsid w:val="001A2AEA"/>
    <w:rsid w:val="001A300A"/>
    <w:rsid w:val="001B2DC9"/>
    <w:rsid w:val="001B71D8"/>
    <w:rsid w:val="001C0ED7"/>
    <w:rsid w:val="001C542B"/>
    <w:rsid w:val="001D0168"/>
    <w:rsid w:val="001D45D1"/>
    <w:rsid w:val="001E1A52"/>
    <w:rsid w:val="001E3256"/>
    <w:rsid w:val="001E5FA9"/>
    <w:rsid w:val="0020122F"/>
    <w:rsid w:val="0021374C"/>
    <w:rsid w:val="0022002B"/>
    <w:rsid w:val="00221573"/>
    <w:rsid w:val="002218C6"/>
    <w:rsid w:val="00225EF0"/>
    <w:rsid w:val="00226E2C"/>
    <w:rsid w:val="00233F76"/>
    <w:rsid w:val="0023527C"/>
    <w:rsid w:val="002428F6"/>
    <w:rsid w:val="00245C93"/>
    <w:rsid w:val="00250473"/>
    <w:rsid w:val="00251D7B"/>
    <w:rsid w:val="00252874"/>
    <w:rsid w:val="00265DFD"/>
    <w:rsid w:val="00276AE6"/>
    <w:rsid w:val="00280DD8"/>
    <w:rsid w:val="002833C0"/>
    <w:rsid w:val="002838AC"/>
    <w:rsid w:val="00290887"/>
    <w:rsid w:val="00290DFF"/>
    <w:rsid w:val="002A28DA"/>
    <w:rsid w:val="002A422B"/>
    <w:rsid w:val="002A6A95"/>
    <w:rsid w:val="002B4344"/>
    <w:rsid w:val="002C0E3A"/>
    <w:rsid w:val="002C377F"/>
    <w:rsid w:val="002C5233"/>
    <w:rsid w:val="002C552B"/>
    <w:rsid w:val="002C6DE3"/>
    <w:rsid w:val="002D0D66"/>
    <w:rsid w:val="002D4A50"/>
    <w:rsid w:val="002D5893"/>
    <w:rsid w:val="002E2E37"/>
    <w:rsid w:val="002E4CCE"/>
    <w:rsid w:val="002F0C39"/>
    <w:rsid w:val="002F175F"/>
    <w:rsid w:val="002F29FC"/>
    <w:rsid w:val="002F4D8E"/>
    <w:rsid w:val="002F501A"/>
    <w:rsid w:val="002F5C33"/>
    <w:rsid w:val="002F6B70"/>
    <w:rsid w:val="003001B1"/>
    <w:rsid w:val="003009F1"/>
    <w:rsid w:val="00302FAA"/>
    <w:rsid w:val="00321700"/>
    <w:rsid w:val="00322032"/>
    <w:rsid w:val="00324BB3"/>
    <w:rsid w:val="00325753"/>
    <w:rsid w:val="00332F2D"/>
    <w:rsid w:val="003340C3"/>
    <w:rsid w:val="003366E6"/>
    <w:rsid w:val="003376D6"/>
    <w:rsid w:val="00341D50"/>
    <w:rsid w:val="0034256A"/>
    <w:rsid w:val="003538FC"/>
    <w:rsid w:val="0035417D"/>
    <w:rsid w:val="003660A8"/>
    <w:rsid w:val="00371082"/>
    <w:rsid w:val="0037524F"/>
    <w:rsid w:val="003865BB"/>
    <w:rsid w:val="00392874"/>
    <w:rsid w:val="00392B61"/>
    <w:rsid w:val="00393CA7"/>
    <w:rsid w:val="0039467C"/>
    <w:rsid w:val="003A3841"/>
    <w:rsid w:val="003A78EF"/>
    <w:rsid w:val="003B0CE4"/>
    <w:rsid w:val="003B1276"/>
    <w:rsid w:val="003B2D94"/>
    <w:rsid w:val="003B30FF"/>
    <w:rsid w:val="003B41E1"/>
    <w:rsid w:val="003C0EDD"/>
    <w:rsid w:val="003C347F"/>
    <w:rsid w:val="003D0C1B"/>
    <w:rsid w:val="003D5C95"/>
    <w:rsid w:val="003E3FAB"/>
    <w:rsid w:val="003E459C"/>
    <w:rsid w:val="003E581D"/>
    <w:rsid w:val="003F32E5"/>
    <w:rsid w:val="00403F1E"/>
    <w:rsid w:val="0040484B"/>
    <w:rsid w:val="00404BD1"/>
    <w:rsid w:val="00406430"/>
    <w:rsid w:val="004217CB"/>
    <w:rsid w:val="00431F05"/>
    <w:rsid w:val="00433CDE"/>
    <w:rsid w:val="004401E9"/>
    <w:rsid w:val="00441949"/>
    <w:rsid w:val="0044266B"/>
    <w:rsid w:val="00446E11"/>
    <w:rsid w:val="0045245C"/>
    <w:rsid w:val="00456A2E"/>
    <w:rsid w:val="00456CD3"/>
    <w:rsid w:val="004605AB"/>
    <w:rsid w:val="00461000"/>
    <w:rsid w:val="00461846"/>
    <w:rsid w:val="00462F17"/>
    <w:rsid w:val="004650C2"/>
    <w:rsid w:val="004705B4"/>
    <w:rsid w:val="00473FE9"/>
    <w:rsid w:val="00474867"/>
    <w:rsid w:val="00475D6D"/>
    <w:rsid w:val="00485D1A"/>
    <w:rsid w:val="00490B63"/>
    <w:rsid w:val="00492BF9"/>
    <w:rsid w:val="004966EB"/>
    <w:rsid w:val="004A1AD0"/>
    <w:rsid w:val="004C0B1F"/>
    <w:rsid w:val="004C1109"/>
    <w:rsid w:val="004C5B3A"/>
    <w:rsid w:val="004D0935"/>
    <w:rsid w:val="004D565F"/>
    <w:rsid w:val="004E0746"/>
    <w:rsid w:val="004E1DE4"/>
    <w:rsid w:val="004E2C50"/>
    <w:rsid w:val="004E51EE"/>
    <w:rsid w:val="004E5555"/>
    <w:rsid w:val="004F149E"/>
    <w:rsid w:val="004F14AF"/>
    <w:rsid w:val="004F25F4"/>
    <w:rsid w:val="004F675D"/>
    <w:rsid w:val="00502704"/>
    <w:rsid w:val="005035EB"/>
    <w:rsid w:val="00512C60"/>
    <w:rsid w:val="00513D1E"/>
    <w:rsid w:val="005143C8"/>
    <w:rsid w:val="005170B8"/>
    <w:rsid w:val="00522FB0"/>
    <w:rsid w:val="00524CA3"/>
    <w:rsid w:val="00540BFE"/>
    <w:rsid w:val="00541E49"/>
    <w:rsid w:val="00544B96"/>
    <w:rsid w:val="00577BA7"/>
    <w:rsid w:val="00582C8B"/>
    <w:rsid w:val="00583B0D"/>
    <w:rsid w:val="00585D29"/>
    <w:rsid w:val="0058723D"/>
    <w:rsid w:val="00587D2A"/>
    <w:rsid w:val="00597A6E"/>
    <w:rsid w:val="00597F2B"/>
    <w:rsid w:val="005A29E3"/>
    <w:rsid w:val="005A4F9D"/>
    <w:rsid w:val="005A5CA3"/>
    <w:rsid w:val="005B04C8"/>
    <w:rsid w:val="005B140F"/>
    <w:rsid w:val="005B3423"/>
    <w:rsid w:val="005B4488"/>
    <w:rsid w:val="005B4E0F"/>
    <w:rsid w:val="005B7858"/>
    <w:rsid w:val="005B78CB"/>
    <w:rsid w:val="005C20EA"/>
    <w:rsid w:val="005D7B15"/>
    <w:rsid w:val="005E2D02"/>
    <w:rsid w:val="005E3C9A"/>
    <w:rsid w:val="005F2FEB"/>
    <w:rsid w:val="005F3C69"/>
    <w:rsid w:val="005F6154"/>
    <w:rsid w:val="00605B7E"/>
    <w:rsid w:val="00615DFA"/>
    <w:rsid w:val="006230E1"/>
    <w:rsid w:val="006269CD"/>
    <w:rsid w:val="00626DAE"/>
    <w:rsid w:val="00630B61"/>
    <w:rsid w:val="006336DE"/>
    <w:rsid w:val="006346CB"/>
    <w:rsid w:val="00634C95"/>
    <w:rsid w:val="00637579"/>
    <w:rsid w:val="006417ED"/>
    <w:rsid w:val="00642C0D"/>
    <w:rsid w:val="00647507"/>
    <w:rsid w:val="00651040"/>
    <w:rsid w:val="00653C6E"/>
    <w:rsid w:val="00654D31"/>
    <w:rsid w:val="00656F67"/>
    <w:rsid w:val="006668D0"/>
    <w:rsid w:val="006673F2"/>
    <w:rsid w:val="00667878"/>
    <w:rsid w:val="006708A4"/>
    <w:rsid w:val="00671683"/>
    <w:rsid w:val="00673A9F"/>
    <w:rsid w:val="00675507"/>
    <w:rsid w:val="00675DD5"/>
    <w:rsid w:val="00676159"/>
    <w:rsid w:val="006853BE"/>
    <w:rsid w:val="006861BC"/>
    <w:rsid w:val="0068648D"/>
    <w:rsid w:val="00687390"/>
    <w:rsid w:val="006939D0"/>
    <w:rsid w:val="00695D8E"/>
    <w:rsid w:val="006A02AA"/>
    <w:rsid w:val="006A180C"/>
    <w:rsid w:val="006A1BE8"/>
    <w:rsid w:val="006A3950"/>
    <w:rsid w:val="006A48FE"/>
    <w:rsid w:val="006A4C7D"/>
    <w:rsid w:val="006A5DA5"/>
    <w:rsid w:val="006A70D9"/>
    <w:rsid w:val="006B3141"/>
    <w:rsid w:val="006C77EB"/>
    <w:rsid w:val="006C77F5"/>
    <w:rsid w:val="006D11E3"/>
    <w:rsid w:val="006D3386"/>
    <w:rsid w:val="006D6DFA"/>
    <w:rsid w:val="006E0B14"/>
    <w:rsid w:val="006F220B"/>
    <w:rsid w:val="006F2D27"/>
    <w:rsid w:val="006F3325"/>
    <w:rsid w:val="006F54C0"/>
    <w:rsid w:val="006F7FDA"/>
    <w:rsid w:val="0070247A"/>
    <w:rsid w:val="00702785"/>
    <w:rsid w:val="007146A6"/>
    <w:rsid w:val="00715CCC"/>
    <w:rsid w:val="00717F65"/>
    <w:rsid w:val="00720674"/>
    <w:rsid w:val="00725086"/>
    <w:rsid w:val="00726C61"/>
    <w:rsid w:val="00727F1A"/>
    <w:rsid w:val="00730528"/>
    <w:rsid w:val="007365B8"/>
    <w:rsid w:val="00742044"/>
    <w:rsid w:val="007430C8"/>
    <w:rsid w:val="007439BB"/>
    <w:rsid w:val="0074568E"/>
    <w:rsid w:val="007579C9"/>
    <w:rsid w:val="007624FB"/>
    <w:rsid w:val="007626A2"/>
    <w:rsid w:val="00765E37"/>
    <w:rsid w:val="0076639C"/>
    <w:rsid w:val="0077013D"/>
    <w:rsid w:val="00772402"/>
    <w:rsid w:val="00772CB7"/>
    <w:rsid w:val="00773D38"/>
    <w:rsid w:val="00777CD7"/>
    <w:rsid w:val="0078032B"/>
    <w:rsid w:val="00784203"/>
    <w:rsid w:val="0078793E"/>
    <w:rsid w:val="0079003F"/>
    <w:rsid w:val="00793045"/>
    <w:rsid w:val="00796C94"/>
    <w:rsid w:val="007A0A26"/>
    <w:rsid w:val="007B0898"/>
    <w:rsid w:val="007B0F64"/>
    <w:rsid w:val="007B29D8"/>
    <w:rsid w:val="007B37F9"/>
    <w:rsid w:val="007C0164"/>
    <w:rsid w:val="007C026C"/>
    <w:rsid w:val="007C2623"/>
    <w:rsid w:val="007C5E1F"/>
    <w:rsid w:val="007C6AFE"/>
    <w:rsid w:val="007C77ED"/>
    <w:rsid w:val="007D2B64"/>
    <w:rsid w:val="007D571F"/>
    <w:rsid w:val="007D7A3B"/>
    <w:rsid w:val="007E38F4"/>
    <w:rsid w:val="007E3D74"/>
    <w:rsid w:val="007E47EB"/>
    <w:rsid w:val="007F2EA6"/>
    <w:rsid w:val="00800F52"/>
    <w:rsid w:val="00803841"/>
    <w:rsid w:val="00810FDD"/>
    <w:rsid w:val="0082125E"/>
    <w:rsid w:val="008224AB"/>
    <w:rsid w:val="00822C0E"/>
    <w:rsid w:val="00824DE8"/>
    <w:rsid w:val="0082765F"/>
    <w:rsid w:val="00834725"/>
    <w:rsid w:val="00841BF9"/>
    <w:rsid w:val="00846EDC"/>
    <w:rsid w:val="00852A4B"/>
    <w:rsid w:val="00853824"/>
    <w:rsid w:val="00855351"/>
    <w:rsid w:val="008568EE"/>
    <w:rsid w:val="00857648"/>
    <w:rsid w:val="008578AD"/>
    <w:rsid w:val="008654A4"/>
    <w:rsid w:val="008731AA"/>
    <w:rsid w:val="0088013E"/>
    <w:rsid w:val="00881EE1"/>
    <w:rsid w:val="00891AFE"/>
    <w:rsid w:val="0089719F"/>
    <w:rsid w:val="008B3640"/>
    <w:rsid w:val="008B4B94"/>
    <w:rsid w:val="008B5014"/>
    <w:rsid w:val="008B6B33"/>
    <w:rsid w:val="008C6BC4"/>
    <w:rsid w:val="008C738F"/>
    <w:rsid w:val="008D1753"/>
    <w:rsid w:val="008D27F8"/>
    <w:rsid w:val="008D3A4C"/>
    <w:rsid w:val="008E23AB"/>
    <w:rsid w:val="008E3B33"/>
    <w:rsid w:val="008E4EC5"/>
    <w:rsid w:val="008E535F"/>
    <w:rsid w:val="008F2D80"/>
    <w:rsid w:val="008F6A4B"/>
    <w:rsid w:val="00907E76"/>
    <w:rsid w:val="00910490"/>
    <w:rsid w:val="00914EAE"/>
    <w:rsid w:val="00916221"/>
    <w:rsid w:val="009165D5"/>
    <w:rsid w:val="009170F7"/>
    <w:rsid w:val="00922A7D"/>
    <w:rsid w:val="0092722F"/>
    <w:rsid w:val="00927F14"/>
    <w:rsid w:val="009303AE"/>
    <w:rsid w:val="00934F28"/>
    <w:rsid w:val="009410DB"/>
    <w:rsid w:val="00945D5E"/>
    <w:rsid w:val="00950145"/>
    <w:rsid w:val="00952A13"/>
    <w:rsid w:val="00954C35"/>
    <w:rsid w:val="00956C62"/>
    <w:rsid w:val="00961CA0"/>
    <w:rsid w:val="0096471E"/>
    <w:rsid w:val="0096540B"/>
    <w:rsid w:val="00970C95"/>
    <w:rsid w:val="00971858"/>
    <w:rsid w:val="00977971"/>
    <w:rsid w:val="009850B8"/>
    <w:rsid w:val="00986C9B"/>
    <w:rsid w:val="009A7CA9"/>
    <w:rsid w:val="009B01FD"/>
    <w:rsid w:val="009B1748"/>
    <w:rsid w:val="009B20C0"/>
    <w:rsid w:val="009C6FFC"/>
    <w:rsid w:val="009C743D"/>
    <w:rsid w:val="009D33FD"/>
    <w:rsid w:val="009D438C"/>
    <w:rsid w:val="009E1B65"/>
    <w:rsid w:val="00A00347"/>
    <w:rsid w:val="00A0696F"/>
    <w:rsid w:val="00A113D5"/>
    <w:rsid w:val="00A12ADB"/>
    <w:rsid w:val="00A144E4"/>
    <w:rsid w:val="00A1567C"/>
    <w:rsid w:val="00A15AB9"/>
    <w:rsid w:val="00A16F08"/>
    <w:rsid w:val="00A17813"/>
    <w:rsid w:val="00A25DCF"/>
    <w:rsid w:val="00A26295"/>
    <w:rsid w:val="00A31898"/>
    <w:rsid w:val="00A32819"/>
    <w:rsid w:val="00A33EE8"/>
    <w:rsid w:val="00A348AF"/>
    <w:rsid w:val="00A34971"/>
    <w:rsid w:val="00A357E9"/>
    <w:rsid w:val="00A4078D"/>
    <w:rsid w:val="00A44692"/>
    <w:rsid w:val="00A45827"/>
    <w:rsid w:val="00A464E3"/>
    <w:rsid w:val="00A53944"/>
    <w:rsid w:val="00A61095"/>
    <w:rsid w:val="00A62F26"/>
    <w:rsid w:val="00A634EC"/>
    <w:rsid w:val="00A6375F"/>
    <w:rsid w:val="00A656C9"/>
    <w:rsid w:val="00A65E26"/>
    <w:rsid w:val="00A700DE"/>
    <w:rsid w:val="00A734A6"/>
    <w:rsid w:val="00A736EE"/>
    <w:rsid w:val="00A749BC"/>
    <w:rsid w:val="00A75FB4"/>
    <w:rsid w:val="00A865CD"/>
    <w:rsid w:val="00A933C3"/>
    <w:rsid w:val="00A95163"/>
    <w:rsid w:val="00AA6371"/>
    <w:rsid w:val="00AB1B0D"/>
    <w:rsid w:val="00AB4F85"/>
    <w:rsid w:val="00AC7DD3"/>
    <w:rsid w:val="00AD0BF9"/>
    <w:rsid w:val="00AE2943"/>
    <w:rsid w:val="00AE3B6E"/>
    <w:rsid w:val="00AE5717"/>
    <w:rsid w:val="00AE6C45"/>
    <w:rsid w:val="00AF3849"/>
    <w:rsid w:val="00AF6362"/>
    <w:rsid w:val="00B015D8"/>
    <w:rsid w:val="00B07D64"/>
    <w:rsid w:val="00B12C24"/>
    <w:rsid w:val="00B13025"/>
    <w:rsid w:val="00B17230"/>
    <w:rsid w:val="00B3328C"/>
    <w:rsid w:val="00B33BE7"/>
    <w:rsid w:val="00B33D88"/>
    <w:rsid w:val="00B37B59"/>
    <w:rsid w:val="00B40CAA"/>
    <w:rsid w:val="00B40E18"/>
    <w:rsid w:val="00B425EE"/>
    <w:rsid w:val="00B4686D"/>
    <w:rsid w:val="00B568A3"/>
    <w:rsid w:val="00B61733"/>
    <w:rsid w:val="00B66968"/>
    <w:rsid w:val="00B736BA"/>
    <w:rsid w:val="00B73B3B"/>
    <w:rsid w:val="00B73E57"/>
    <w:rsid w:val="00B80814"/>
    <w:rsid w:val="00B835F0"/>
    <w:rsid w:val="00B83A06"/>
    <w:rsid w:val="00B87FFD"/>
    <w:rsid w:val="00B92267"/>
    <w:rsid w:val="00B95A8E"/>
    <w:rsid w:val="00B96D44"/>
    <w:rsid w:val="00BA0FB8"/>
    <w:rsid w:val="00BA168F"/>
    <w:rsid w:val="00BA2AE4"/>
    <w:rsid w:val="00BA4A0A"/>
    <w:rsid w:val="00BA4AC5"/>
    <w:rsid w:val="00BA5C93"/>
    <w:rsid w:val="00BB1BB8"/>
    <w:rsid w:val="00BB706D"/>
    <w:rsid w:val="00BC256D"/>
    <w:rsid w:val="00BC3B21"/>
    <w:rsid w:val="00BC4950"/>
    <w:rsid w:val="00BC5285"/>
    <w:rsid w:val="00BC5C44"/>
    <w:rsid w:val="00BD13FA"/>
    <w:rsid w:val="00BD4E02"/>
    <w:rsid w:val="00BE1123"/>
    <w:rsid w:val="00BE29CC"/>
    <w:rsid w:val="00BE74FF"/>
    <w:rsid w:val="00BF0250"/>
    <w:rsid w:val="00BF30D9"/>
    <w:rsid w:val="00C0055D"/>
    <w:rsid w:val="00C07E0C"/>
    <w:rsid w:val="00C10757"/>
    <w:rsid w:val="00C11DBB"/>
    <w:rsid w:val="00C202F1"/>
    <w:rsid w:val="00C2097E"/>
    <w:rsid w:val="00C22F9F"/>
    <w:rsid w:val="00C239B8"/>
    <w:rsid w:val="00C255B8"/>
    <w:rsid w:val="00C311AF"/>
    <w:rsid w:val="00C329DC"/>
    <w:rsid w:val="00C35AD1"/>
    <w:rsid w:val="00C367FC"/>
    <w:rsid w:val="00C369E3"/>
    <w:rsid w:val="00C424C7"/>
    <w:rsid w:val="00C4264C"/>
    <w:rsid w:val="00C42B20"/>
    <w:rsid w:val="00C4553E"/>
    <w:rsid w:val="00C5086E"/>
    <w:rsid w:val="00C56180"/>
    <w:rsid w:val="00C57636"/>
    <w:rsid w:val="00C625AE"/>
    <w:rsid w:val="00C6405F"/>
    <w:rsid w:val="00C64EA1"/>
    <w:rsid w:val="00C669D7"/>
    <w:rsid w:val="00C70547"/>
    <w:rsid w:val="00C72A42"/>
    <w:rsid w:val="00C731A3"/>
    <w:rsid w:val="00C735A4"/>
    <w:rsid w:val="00C73858"/>
    <w:rsid w:val="00C7529B"/>
    <w:rsid w:val="00C76F97"/>
    <w:rsid w:val="00C83D89"/>
    <w:rsid w:val="00C84AD6"/>
    <w:rsid w:val="00C902C0"/>
    <w:rsid w:val="00C91726"/>
    <w:rsid w:val="00C92359"/>
    <w:rsid w:val="00C9307F"/>
    <w:rsid w:val="00C93F63"/>
    <w:rsid w:val="00CA2C18"/>
    <w:rsid w:val="00CA41B4"/>
    <w:rsid w:val="00CA50A6"/>
    <w:rsid w:val="00CA7A74"/>
    <w:rsid w:val="00CB4B6F"/>
    <w:rsid w:val="00CB5BF9"/>
    <w:rsid w:val="00CB5C72"/>
    <w:rsid w:val="00CC159D"/>
    <w:rsid w:val="00CC390B"/>
    <w:rsid w:val="00CC4928"/>
    <w:rsid w:val="00CD1D98"/>
    <w:rsid w:val="00CD50BD"/>
    <w:rsid w:val="00CE190F"/>
    <w:rsid w:val="00CE518B"/>
    <w:rsid w:val="00CE5B8B"/>
    <w:rsid w:val="00CE6327"/>
    <w:rsid w:val="00CF5FB0"/>
    <w:rsid w:val="00CF6608"/>
    <w:rsid w:val="00CF75DD"/>
    <w:rsid w:val="00CF7FFA"/>
    <w:rsid w:val="00D00667"/>
    <w:rsid w:val="00D06E90"/>
    <w:rsid w:val="00D15BF6"/>
    <w:rsid w:val="00D358AD"/>
    <w:rsid w:val="00D369D9"/>
    <w:rsid w:val="00D378E4"/>
    <w:rsid w:val="00D45251"/>
    <w:rsid w:val="00D46BF9"/>
    <w:rsid w:val="00D64143"/>
    <w:rsid w:val="00D643DD"/>
    <w:rsid w:val="00D71644"/>
    <w:rsid w:val="00D7249B"/>
    <w:rsid w:val="00D72BF8"/>
    <w:rsid w:val="00D764E0"/>
    <w:rsid w:val="00D80D73"/>
    <w:rsid w:val="00D82D05"/>
    <w:rsid w:val="00D82D27"/>
    <w:rsid w:val="00D83A4A"/>
    <w:rsid w:val="00D92DB3"/>
    <w:rsid w:val="00D93E91"/>
    <w:rsid w:val="00D95224"/>
    <w:rsid w:val="00DA02A9"/>
    <w:rsid w:val="00DA3D14"/>
    <w:rsid w:val="00DA5131"/>
    <w:rsid w:val="00DA54ED"/>
    <w:rsid w:val="00DC2AC5"/>
    <w:rsid w:val="00DD0619"/>
    <w:rsid w:val="00DD13CD"/>
    <w:rsid w:val="00DD2EEA"/>
    <w:rsid w:val="00DD41B2"/>
    <w:rsid w:val="00DD42B9"/>
    <w:rsid w:val="00DD5571"/>
    <w:rsid w:val="00DD754D"/>
    <w:rsid w:val="00DE3203"/>
    <w:rsid w:val="00DE6978"/>
    <w:rsid w:val="00DE7528"/>
    <w:rsid w:val="00DF0A91"/>
    <w:rsid w:val="00DF0F73"/>
    <w:rsid w:val="00DF37BB"/>
    <w:rsid w:val="00DF3AB1"/>
    <w:rsid w:val="00E00F6D"/>
    <w:rsid w:val="00E0572C"/>
    <w:rsid w:val="00E104D2"/>
    <w:rsid w:val="00E224AE"/>
    <w:rsid w:val="00E25DAB"/>
    <w:rsid w:val="00E25FDF"/>
    <w:rsid w:val="00E266F1"/>
    <w:rsid w:val="00E333BD"/>
    <w:rsid w:val="00E34795"/>
    <w:rsid w:val="00E37C89"/>
    <w:rsid w:val="00E4005A"/>
    <w:rsid w:val="00E47218"/>
    <w:rsid w:val="00E47DBF"/>
    <w:rsid w:val="00E50607"/>
    <w:rsid w:val="00E6449D"/>
    <w:rsid w:val="00E66BEE"/>
    <w:rsid w:val="00E80938"/>
    <w:rsid w:val="00E8247C"/>
    <w:rsid w:val="00E84AC9"/>
    <w:rsid w:val="00E85C26"/>
    <w:rsid w:val="00E86FEA"/>
    <w:rsid w:val="00EB060F"/>
    <w:rsid w:val="00EC311A"/>
    <w:rsid w:val="00EC585C"/>
    <w:rsid w:val="00EC58C2"/>
    <w:rsid w:val="00EC753C"/>
    <w:rsid w:val="00F00371"/>
    <w:rsid w:val="00F02F1A"/>
    <w:rsid w:val="00F0429A"/>
    <w:rsid w:val="00F14B86"/>
    <w:rsid w:val="00F20578"/>
    <w:rsid w:val="00F27909"/>
    <w:rsid w:val="00F30A72"/>
    <w:rsid w:val="00F313BE"/>
    <w:rsid w:val="00F33456"/>
    <w:rsid w:val="00F42212"/>
    <w:rsid w:val="00F4371B"/>
    <w:rsid w:val="00F437C7"/>
    <w:rsid w:val="00F46F5E"/>
    <w:rsid w:val="00F53756"/>
    <w:rsid w:val="00F5438B"/>
    <w:rsid w:val="00F56FD8"/>
    <w:rsid w:val="00F61DFB"/>
    <w:rsid w:val="00F6466F"/>
    <w:rsid w:val="00F6520E"/>
    <w:rsid w:val="00F7347F"/>
    <w:rsid w:val="00F748EE"/>
    <w:rsid w:val="00F76924"/>
    <w:rsid w:val="00F76C64"/>
    <w:rsid w:val="00F77AD7"/>
    <w:rsid w:val="00F77E14"/>
    <w:rsid w:val="00F81C0A"/>
    <w:rsid w:val="00F87E6A"/>
    <w:rsid w:val="00F91402"/>
    <w:rsid w:val="00F96C96"/>
    <w:rsid w:val="00F9747F"/>
    <w:rsid w:val="00FA2F97"/>
    <w:rsid w:val="00FA305A"/>
    <w:rsid w:val="00FA3948"/>
    <w:rsid w:val="00FA6B19"/>
    <w:rsid w:val="00FB0B5B"/>
    <w:rsid w:val="00FB3D92"/>
    <w:rsid w:val="00FC20D8"/>
    <w:rsid w:val="00FC5F61"/>
    <w:rsid w:val="00FD08C9"/>
    <w:rsid w:val="00FD24A9"/>
    <w:rsid w:val="00FD68CD"/>
    <w:rsid w:val="00FE3843"/>
    <w:rsid w:val="00FE4106"/>
    <w:rsid w:val="00FE4F98"/>
    <w:rsid w:val="00FF0EC9"/>
    <w:rsid w:val="00FF34E0"/>
    <w:rsid w:val="00FF6035"/>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9B"/>
    <w:pPr>
      <w:spacing w:after="200" w:line="276" w:lineRule="auto"/>
    </w:pPr>
    <w:rPr>
      <w:sz w:val="22"/>
      <w:szCs w:val="22"/>
      <w:lang w:val="en-US" w:eastAsia="en-US"/>
    </w:rPr>
  </w:style>
  <w:style w:type="paragraph" w:styleId="Heading2">
    <w:name w:val="heading 2"/>
    <w:basedOn w:val="Normal"/>
    <w:next w:val="Normal"/>
    <w:link w:val="Heading2Char"/>
    <w:qFormat/>
    <w:rsid w:val="00D7249B"/>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F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C6FFC"/>
    <w:rPr>
      <w:rFonts w:ascii="Tahoma" w:hAnsi="Tahoma" w:cs="Tahoma"/>
      <w:sz w:val="16"/>
      <w:szCs w:val="16"/>
    </w:rPr>
  </w:style>
  <w:style w:type="paragraph" w:styleId="Header">
    <w:name w:val="header"/>
    <w:basedOn w:val="Normal"/>
    <w:link w:val="HeaderChar"/>
    <w:uiPriority w:val="99"/>
    <w:semiHidden/>
    <w:unhideWhenUsed/>
    <w:rsid w:val="009C6F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FFC"/>
  </w:style>
  <w:style w:type="paragraph" w:styleId="Footer">
    <w:name w:val="footer"/>
    <w:basedOn w:val="Normal"/>
    <w:link w:val="FooterChar"/>
    <w:uiPriority w:val="99"/>
    <w:semiHidden/>
    <w:unhideWhenUsed/>
    <w:rsid w:val="009C6F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FFC"/>
  </w:style>
  <w:style w:type="paragraph" w:styleId="ListParagraph">
    <w:name w:val="List Paragraph"/>
    <w:basedOn w:val="Normal"/>
    <w:uiPriority w:val="34"/>
    <w:qFormat/>
    <w:rsid w:val="004E51EE"/>
    <w:pPr>
      <w:ind w:left="720"/>
      <w:contextualSpacing/>
    </w:pPr>
  </w:style>
  <w:style w:type="paragraph" w:customStyle="1" w:styleId="Default">
    <w:name w:val="Default"/>
    <w:rsid w:val="002F6B70"/>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D7249B"/>
    <w:rPr>
      <w:rFonts w:ascii="Cambria" w:eastAsia="Times New Roman" w:hAnsi="Cambria"/>
      <w:b/>
      <w:bCs/>
      <w:i/>
      <w:iCs/>
      <w:sz w:val="28"/>
      <w:szCs w:val="28"/>
    </w:rPr>
  </w:style>
  <w:style w:type="paragraph" w:styleId="NormalWeb">
    <w:name w:val="Normal (Web)"/>
    <w:basedOn w:val="Normal"/>
    <w:uiPriority w:val="99"/>
    <w:unhideWhenUsed/>
    <w:rsid w:val="000337BC"/>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NoSpacing">
    <w:name w:val="No Spacing"/>
    <w:uiPriority w:val="1"/>
    <w:qFormat/>
    <w:rsid w:val="005A5CA3"/>
    <w:rPr>
      <w:sz w:val="22"/>
      <w:szCs w:val="22"/>
      <w:lang w:val="en-US" w:eastAsia="en-US"/>
    </w:rPr>
  </w:style>
  <w:style w:type="character" w:styleId="Hyperlink">
    <w:name w:val="Hyperlink"/>
    <w:uiPriority w:val="99"/>
    <w:unhideWhenUsed/>
    <w:rsid w:val="00A357E9"/>
    <w:rPr>
      <w:color w:val="0000FF"/>
      <w:u w:val="single"/>
    </w:rPr>
  </w:style>
  <w:style w:type="table" w:styleId="TableGrid">
    <w:name w:val="Table Grid"/>
    <w:basedOn w:val="TableNormal"/>
    <w:uiPriority w:val="59"/>
    <w:rsid w:val="003B12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5417780">
      <w:bodyDiv w:val="1"/>
      <w:marLeft w:val="0"/>
      <w:marRight w:val="0"/>
      <w:marTop w:val="0"/>
      <w:marBottom w:val="0"/>
      <w:divBdr>
        <w:top w:val="none" w:sz="0" w:space="0" w:color="auto"/>
        <w:left w:val="none" w:sz="0" w:space="0" w:color="auto"/>
        <w:bottom w:val="none" w:sz="0" w:space="0" w:color="auto"/>
        <w:right w:val="none" w:sz="0" w:space="0" w:color="auto"/>
      </w:divBdr>
    </w:div>
    <w:div w:id="877816004">
      <w:bodyDiv w:val="1"/>
      <w:marLeft w:val="0"/>
      <w:marRight w:val="0"/>
      <w:marTop w:val="0"/>
      <w:marBottom w:val="0"/>
      <w:divBdr>
        <w:top w:val="none" w:sz="0" w:space="0" w:color="auto"/>
        <w:left w:val="none" w:sz="0" w:space="0" w:color="auto"/>
        <w:bottom w:val="none" w:sz="0" w:space="0" w:color="auto"/>
        <w:right w:val="none" w:sz="0" w:space="0" w:color="auto"/>
      </w:divBdr>
    </w:div>
    <w:div w:id="1323655087">
      <w:bodyDiv w:val="1"/>
      <w:marLeft w:val="0"/>
      <w:marRight w:val="0"/>
      <w:marTop w:val="0"/>
      <w:marBottom w:val="0"/>
      <w:divBdr>
        <w:top w:val="none" w:sz="0" w:space="0" w:color="auto"/>
        <w:left w:val="none" w:sz="0" w:space="0" w:color="auto"/>
        <w:bottom w:val="none" w:sz="0" w:space="0" w:color="auto"/>
        <w:right w:val="none" w:sz="0" w:space="0" w:color="auto"/>
      </w:divBdr>
    </w:div>
    <w:div w:id="1693416054">
      <w:bodyDiv w:val="1"/>
      <w:marLeft w:val="0"/>
      <w:marRight w:val="0"/>
      <w:marTop w:val="0"/>
      <w:marBottom w:val="0"/>
      <w:divBdr>
        <w:top w:val="none" w:sz="0" w:space="0" w:color="auto"/>
        <w:left w:val="none" w:sz="0" w:space="0" w:color="auto"/>
        <w:bottom w:val="none" w:sz="0" w:space="0" w:color="auto"/>
        <w:right w:val="none" w:sz="0" w:space="0" w:color="auto"/>
      </w:divBdr>
    </w:div>
    <w:div w:id="21153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D741-512B-4EA1-A16A-047D773B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7904</CharactersWithSpaces>
  <SharedDoc>false</SharedDoc>
  <HLinks>
    <vt:vector size="6" baseType="variant">
      <vt:variant>
        <vt:i4>6029369</vt:i4>
      </vt:variant>
      <vt:variant>
        <vt:i4>0</vt:i4>
      </vt:variant>
      <vt:variant>
        <vt:i4>0</vt:i4>
      </vt:variant>
      <vt:variant>
        <vt:i4>5</vt:i4>
      </vt:variant>
      <vt:variant>
        <vt:lpwstr>mailto:catleader@me.navy.mil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tps</cp:lastModifiedBy>
  <cp:revision>73</cp:revision>
  <cp:lastPrinted>2017-01-30T12:56:00Z</cp:lastPrinted>
  <dcterms:created xsi:type="dcterms:W3CDTF">2016-10-20T05:09:00Z</dcterms:created>
  <dcterms:modified xsi:type="dcterms:W3CDTF">2018-10-03T05:20:00Z</dcterms:modified>
</cp:coreProperties>
</file>